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8A59EE" w:rsidRDefault="00AC5857" w:rsidP="00D44968">
            <w:pPr>
              <w:suppressLineNumbers/>
              <w:jc w:val="both"/>
              <w:rPr>
                <w:rFonts w:ascii="Arial" w:hAnsi="Arial"/>
                <w:b/>
                <w:bCs/>
                <w:sz w:val="26"/>
                <w:szCs w:val="26"/>
                <w:rtl/>
              </w:rPr>
            </w:pPr>
            <w:r>
              <w:rPr>
                <w:rFonts w:ascii="Arial" w:hAnsi="Arial" w:hint="cs"/>
                <w:b/>
                <w:bCs/>
                <w:sz w:val="26"/>
                <w:szCs w:val="26"/>
                <w:rtl/>
              </w:rPr>
              <w:t>ל</w:t>
            </w:r>
            <w:r w:rsidR="0094424E" w:rsidRPr="008A59EE">
              <w:rPr>
                <w:rFonts w:ascii="Arial" w:hAnsi="Arial"/>
                <w:b/>
                <w:bCs/>
                <w:sz w:val="26"/>
                <w:szCs w:val="26"/>
                <w:rtl/>
              </w:rPr>
              <w:t xml:space="preserve">פני </w:t>
            </w:r>
          </w:p>
        </w:tc>
        <w:tc>
          <w:tcPr>
            <w:tcW w:w="8077" w:type="dxa"/>
            <w:gridSpan w:val="2"/>
          </w:tcPr>
          <w:p w:rsidR="0094424E" w:rsidRPr="008A59EE" w:rsidRDefault="000529D2" w:rsidP="00E9269D">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אייל כהן</w:t>
                </w:r>
              </w:sdtContent>
            </w:sdt>
          </w:p>
          <w:p w:rsidR="00007DE0" w:rsidRDefault="00007DE0" w:rsidP="00007DE0">
            <w:pPr>
              <w:suppressLineNumbers/>
              <w:rPr>
                <w:sz w:val="26"/>
                <w:szCs w:val="26"/>
                <w:rtl/>
              </w:rPr>
            </w:pPr>
          </w:p>
          <w:p w:rsidR="00157540" w:rsidRDefault="00157540" w:rsidP="00007DE0">
            <w:pPr>
              <w:suppressLineNumbers/>
              <w:rPr>
                <w:sz w:val="26"/>
                <w:szCs w:val="26"/>
                <w:rtl/>
              </w:rPr>
            </w:pPr>
          </w:p>
          <w:p w:rsidR="00157540" w:rsidRPr="008A59EE" w:rsidRDefault="00157540" w:rsidP="00007DE0">
            <w:pPr>
              <w:suppressLineNumbers/>
              <w:rPr>
                <w:sz w:val="26"/>
                <w:szCs w:val="26"/>
              </w:rPr>
            </w:pPr>
          </w:p>
        </w:tc>
      </w:tr>
      <w:tr w:rsidR="0094424E" w:rsidTr="00465D36">
        <w:trPr>
          <w:jc w:val="center"/>
        </w:trPr>
        <w:tc>
          <w:tcPr>
            <w:tcW w:w="3249" w:type="dxa"/>
            <w:gridSpan w:val="2"/>
          </w:tcPr>
          <w:p w:rsidR="00FA7FD0" w:rsidRDefault="00FA7FD0" w:rsidP="00D44968">
            <w:pPr>
              <w:suppressLineNumbers/>
              <w:rPr>
                <w:rtl/>
              </w:rPr>
            </w:pPr>
          </w:p>
          <w:sdt>
            <w:sdtPr>
              <w:rPr>
                <w:rtl/>
              </w:rPr>
              <w:alias w:val="1180"/>
              <w:tag w:val="1180"/>
              <w:id w:val="637458750"/>
              <w:text w:multiLine="1"/>
            </w:sdtPr>
            <w:sdtEndPr/>
            <w:sdtContent>
              <w:p w:rsidR="00CC313D" w:rsidRDefault="00E542F3" w:rsidP="00157540">
                <w:pPr>
                  <w:suppressLineNumbers/>
                  <w:rPr>
                    <w:rFonts w:ascii="Arial" w:hAnsi="Arial"/>
                    <w:b/>
                    <w:bCs/>
                    <w:noProof w:val="0"/>
                    <w:sz w:val="26"/>
                    <w:szCs w:val="26"/>
                    <w:rtl/>
                  </w:rPr>
                </w:pPr>
                <w:r>
                  <w:rPr>
                    <w:rFonts w:ascii="Arial" w:hAnsi="Arial"/>
                    <w:b/>
                    <w:bCs/>
                    <w:noProof w:val="0"/>
                    <w:sz w:val="26"/>
                    <w:szCs w:val="26"/>
                    <w:rtl/>
                  </w:rPr>
                  <w:t>תובע</w:t>
                </w:r>
                <w:r w:rsidR="00157540">
                  <w:rPr>
                    <w:rFonts w:ascii="Arial" w:hAnsi="Arial" w:hint="cs"/>
                    <w:b/>
                    <w:bCs/>
                    <w:noProof w:val="0"/>
                    <w:sz w:val="26"/>
                    <w:szCs w:val="26"/>
                    <w:rtl/>
                  </w:rPr>
                  <w:t xml:space="preserve">ת </w:t>
                </w:r>
              </w:p>
            </w:sdtContent>
          </w:sdt>
        </w:tc>
        <w:tc>
          <w:tcPr>
            <w:tcW w:w="5571" w:type="dxa"/>
          </w:tcPr>
          <w:p w:rsidR="00FA7FD0" w:rsidRDefault="00FA7FD0" w:rsidP="00D44968">
            <w:pPr>
              <w:suppressLineNumbers/>
              <w:rPr>
                <w:rtl/>
              </w:rPr>
            </w:pPr>
          </w:p>
          <w:p w:rsidR="0094424E" w:rsidRDefault="00926E80" w:rsidP="00FE09EC">
            <w:pPr>
              <w:suppressLineNumbers/>
              <w:rPr>
                <w:b/>
                <w:bCs/>
                <w:noProof w:val="0"/>
                <w:sz w:val="26"/>
                <w:szCs w:val="26"/>
              </w:rPr>
            </w:pPr>
            <w:sdt>
              <w:sdtPr>
                <w:rPr>
                  <w:rFonts w:ascii="Arial" w:hAnsi="Arial"/>
                  <w:b/>
                  <w:bCs/>
                  <w:noProof w:val="0"/>
                  <w:sz w:val="26"/>
                  <w:szCs w:val="26"/>
                  <w:rtl/>
                </w:rPr>
                <w:alias w:val="3151"/>
                <w:tag w:val="3151"/>
                <w:id w:val="1166218717"/>
                <w:placeholder>
                  <w:docPart w:val="1C8A38705F7143EA87FF3DEB2C34E7E5"/>
                </w:placeholder>
                <w:text w:multiLine="1"/>
              </w:sdtPr>
              <w:sdtEndPr/>
              <w:sdtContent>
                <w:r w:rsidR="00E765F7">
                  <w:rPr>
                    <w:rFonts w:ascii="Arial" w:hAnsi="Arial"/>
                    <w:b/>
                    <w:bCs/>
                    <w:noProof w:val="0"/>
                    <w:sz w:val="26"/>
                    <w:szCs w:val="26"/>
                    <w:rtl/>
                  </w:rPr>
                  <w:t>פלוני</w:t>
                </w:r>
                <w:r w:rsidR="00157540">
                  <w:rPr>
                    <w:rFonts w:ascii="Arial" w:hAnsi="Arial" w:hint="cs"/>
                    <w:b/>
                    <w:bCs/>
                    <w:noProof w:val="0"/>
                    <w:sz w:val="26"/>
                    <w:szCs w:val="26"/>
                    <w:rtl/>
                  </w:rPr>
                  <w:t>ת</w:t>
                </w:r>
              </w:sdtContent>
            </w:sdt>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157540" w:rsidRDefault="00157540" w:rsidP="00D44968">
            <w:pPr>
              <w:suppressLineNumbers/>
              <w:jc w:val="center"/>
              <w:rPr>
                <w:rFonts w:ascii="Arial" w:hAnsi="Arial"/>
                <w:b/>
                <w:bCs/>
                <w:noProof w:val="0"/>
                <w:sz w:val="26"/>
                <w:szCs w:val="26"/>
                <w:rtl/>
              </w:rPr>
            </w:pP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926E80" w:rsidP="00157540">
            <w:pPr>
              <w:suppressLineNumbers/>
              <w:rPr>
                <w:rFonts w:ascii="Arial" w:hAnsi="Arial"/>
                <w:b/>
                <w:bCs/>
                <w:noProof w:val="0"/>
                <w:sz w:val="26"/>
                <w:szCs w:val="26"/>
              </w:rPr>
            </w:pPr>
            <w:sdt>
              <w:sdtPr>
                <w:rPr>
                  <w:rtl/>
                </w:rPr>
                <w:alias w:val="1184"/>
                <w:tag w:val="1184"/>
                <w:id w:val="-340621022"/>
                <w:text w:multiLine="1"/>
              </w:sdtPr>
              <w:sdtEndPr/>
              <w:sdtContent>
                <w:r w:rsidR="00E765F7">
                  <w:rPr>
                    <w:rFonts w:ascii="Arial" w:hAnsi="Arial"/>
                    <w:b/>
                    <w:bCs/>
                    <w:noProof w:val="0"/>
                    <w:sz w:val="26"/>
                    <w:szCs w:val="26"/>
                    <w:rtl/>
                  </w:rPr>
                  <w:t>נתבע</w:t>
                </w:r>
                <w:r w:rsidR="00157540">
                  <w:rPr>
                    <w:rFonts w:ascii="Arial" w:hAnsi="Arial" w:hint="cs"/>
                    <w:b/>
                    <w:bCs/>
                    <w:noProof w:val="0"/>
                    <w:sz w:val="26"/>
                    <w:szCs w:val="26"/>
                    <w:rtl/>
                  </w:rPr>
                  <w:t xml:space="preserve">ת </w:t>
                </w:r>
              </w:sdtContent>
            </w:sdt>
          </w:p>
        </w:tc>
        <w:tc>
          <w:tcPr>
            <w:tcW w:w="5571" w:type="dxa"/>
          </w:tcPr>
          <w:p w:rsidR="00CF6BB7" w:rsidRPr="00CD516B" w:rsidRDefault="00926E80" w:rsidP="00FE09EC">
            <w:pPr>
              <w:suppressLineNumbers/>
              <w:rPr>
                <w:rFonts w:ascii="Arial" w:hAnsi="Arial"/>
                <w:b/>
                <w:bCs/>
                <w:noProof w:val="0"/>
                <w:sz w:val="26"/>
                <w:szCs w:val="26"/>
                <w:rtl/>
              </w:rPr>
            </w:pPr>
            <w:sdt>
              <w:sdtPr>
                <w:rPr>
                  <w:rFonts w:ascii="Arial" w:hAnsi="Arial"/>
                  <w:b/>
                  <w:bCs/>
                  <w:noProof w:val="0"/>
                  <w:sz w:val="26"/>
                  <w:szCs w:val="26"/>
                  <w:rtl/>
                </w:rPr>
                <w:alias w:val="3152"/>
                <w:tag w:val="3152"/>
                <w:id w:val="-1346628691"/>
                <w:placeholder>
                  <w:docPart w:val="4DC45A2FD697422FAA3CD896A84FA7B4"/>
                </w:placeholder>
                <w:text w:multiLine="1"/>
              </w:sdtPr>
              <w:sdtEndPr/>
              <w:sdtContent>
                <w:r w:rsidR="00E765F7">
                  <w:rPr>
                    <w:rFonts w:ascii="Arial" w:hAnsi="Arial"/>
                    <w:b/>
                    <w:bCs/>
                    <w:noProof w:val="0"/>
                    <w:sz w:val="26"/>
                    <w:szCs w:val="26"/>
                    <w:rtl/>
                  </w:rPr>
                  <w:t>מדינת ישראל</w:t>
                </w:r>
              </w:sdtContent>
            </w:sdt>
          </w:p>
        </w:tc>
      </w:tr>
      <w:tr w:rsidR="00CF6BB7" w:rsidTr="00280865">
        <w:trPr>
          <w:jc w:val="center"/>
        </w:trPr>
        <w:tc>
          <w:tcPr>
            <w:tcW w:w="8820" w:type="dxa"/>
            <w:gridSpan w:val="3"/>
          </w:tcPr>
          <w:p w:rsidR="00CF6BB7" w:rsidRDefault="00CF6BB7" w:rsidP="00D44968">
            <w:pPr>
              <w:suppressLineNumbers/>
            </w:pPr>
          </w:p>
          <w:p w:rsidR="00CF6BB7" w:rsidRDefault="00CF6BB7" w:rsidP="00D44968">
            <w:pPr>
              <w:suppressLineNumbers/>
              <w:rPr>
                <w:rtl/>
              </w:rPr>
            </w:pPr>
          </w:p>
          <w:p w:rsidR="00CF6BB7" w:rsidRDefault="00CF6BB7" w:rsidP="00D44968">
            <w:pPr>
              <w:suppressLineNumbers/>
              <w:rPr>
                <w:rtl/>
              </w:rPr>
            </w:pPr>
          </w:p>
        </w:tc>
      </w:tr>
      <w:tr w:rsidR="00CF6BB7">
        <w:trPr>
          <w:jc w:val="center"/>
        </w:trPr>
        <w:tc>
          <w:tcPr>
            <w:tcW w:w="3249" w:type="dxa"/>
            <w:gridSpan w:val="2"/>
          </w:tcPr>
          <w:p w:rsidR="00B62AD7" w:rsidRPr="00B62AD7" w:rsidRDefault="00926E80" w:rsidP="00B66717">
            <w:pPr>
              <w:rPr>
                <w:rFonts w:ascii="David" w:eastAsia="David" w:hAnsi="David"/>
                <w:b/>
                <w:bCs/>
                <w:noProof w:val="0"/>
              </w:rPr>
            </w:pPr>
            <w:sdt>
              <w:sdtPr>
                <w:rPr>
                  <w:rFonts w:ascii="David" w:eastAsia="David" w:hAnsi="David"/>
                  <w:b/>
                  <w:bCs/>
                  <w:rtl/>
                </w:rPr>
                <w:alias w:val="2360"/>
                <w:tag w:val="2360"/>
                <w:id w:val="-224524960"/>
                <w:lock w:val="contentLocked"/>
                <w:placeholder>
                  <w:docPart w:val="610C6E051A88448494B3C30FBAD74773"/>
                </w:placeholder>
                <w:text w:multiLine="1"/>
              </w:sdtPr>
              <w:sdtEndPr/>
              <w:sdtContent/>
            </w:sdt>
          </w:p>
        </w:tc>
        <w:tc>
          <w:tcPr>
            <w:tcW w:w="5571" w:type="dxa"/>
          </w:tcPr>
          <w:p w:rsidR="00CF6BB7" w:rsidRDefault="00926E80" w:rsidP="00B66717">
            <w:pPr>
              <w:rPr>
                <w:b/>
                <w:bCs/>
                <w:sz w:val="26"/>
                <w:szCs w:val="26"/>
                <w:rtl/>
              </w:rPr>
            </w:pPr>
            <w:sdt>
              <w:sdtPr>
                <w:rPr>
                  <w:b/>
                  <w:bCs/>
                  <w:sz w:val="26"/>
                  <w:szCs w:val="26"/>
                  <w:rtl/>
                </w:rPr>
                <w:alias w:val="3153"/>
                <w:tag w:val="3153"/>
                <w:id w:val="-1042055233"/>
                <w:lock w:val="contentLocked"/>
                <w:placeholder>
                  <w:docPart w:val="E94836ADA6264C72A55F651E19C4C7A6"/>
                </w:placeholder>
                <w:text w:multiLine="1"/>
              </w:sdtPr>
              <w:sdtEndPr/>
              <w:sdtContent/>
            </w:sdt>
          </w:p>
          <w:p w:rsidR="00B66717" w:rsidRPr="00B62AD7" w:rsidRDefault="00B66717" w:rsidP="00B66717">
            <w:pPr>
              <w:rPr>
                <w:b/>
                <w:bCs/>
                <w:sz w:val="26"/>
                <w:szCs w:val="26"/>
              </w:rPr>
            </w:pPr>
          </w:p>
        </w:tc>
      </w:tr>
      <w:tr w:rsidR="004C17EE" w:rsidTr="00D620FD">
        <w:trPr>
          <w:jc w:val="center"/>
        </w:trPr>
        <w:tc>
          <w:tcPr>
            <w:tcW w:w="8820" w:type="dxa"/>
            <w:gridSpan w:val="3"/>
          </w:tcPr>
          <w:p w:rsidR="00CC313D" w:rsidRDefault="00CC313D">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157540" w:rsidRDefault="00157540" w:rsidP="00157540">
      <w:pPr>
        <w:spacing w:line="360" w:lineRule="auto"/>
        <w:jc w:val="both"/>
        <w:rPr>
          <w:rFonts w:ascii="David" w:hAnsi="David"/>
          <w:noProof w:val="0"/>
          <w:rtl/>
        </w:rPr>
      </w:pPr>
      <w:bookmarkStart w:id="1" w:name="NGCSBookmark"/>
      <w:bookmarkEnd w:id="1"/>
      <w:r>
        <w:rPr>
          <w:rFonts w:ascii="David" w:hAnsi="David"/>
          <w:noProof w:val="0"/>
          <w:rtl/>
        </w:rPr>
        <w:t>מומחה מטעם בית המשפט חיווה דעתו מבלי שעיין בחוות דעת הצדדים עובר לכך. ענייננו בשאלה האם ניתן לרפא פגם זה ע"י עיון בדיעבד והשלמת חוות הדעת, או שמא אין מנוס מפסילתה.</w:t>
      </w:r>
    </w:p>
    <w:p w:rsidR="00157540" w:rsidRDefault="00157540" w:rsidP="00157540">
      <w:pPr>
        <w:spacing w:line="360" w:lineRule="auto"/>
        <w:jc w:val="both"/>
        <w:rPr>
          <w:rFonts w:ascii="David" w:hAnsi="David"/>
          <w:noProof w:val="0"/>
        </w:rPr>
      </w:pPr>
    </w:p>
    <w:p w:rsidR="00157540" w:rsidRDefault="00157540" w:rsidP="00157540">
      <w:pPr>
        <w:spacing w:line="360" w:lineRule="auto"/>
        <w:jc w:val="both"/>
        <w:rPr>
          <w:rFonts w:ascii="David" w:hAnsi="David"/>
          <w:rtl/>
        </w:rPr>
      </w:pPr>
      <w:r>
        <w:rPr>
          <w:rFonts w:ascii="David" w:hAnsi="David" w:hint="cs"/>
          <w:rtl/>
        </w:rPr>
        <w:t xml:space="preserve">עתירת הנתבעת היא </w:t>
      </w:r>
      <w:r>
        <w:rPr>
          <w:rFonts w:ascii="David" w:hAnsi="David"/>
          <w:rtl/>
        </w:rPr>
        <w:t>לפסילת חוות דעת מומחה בית המשפט בתחום האורתופדיה ומינוי מומחה חלופי תחתיו.</w:t>
      </w:r>
    </w:p>
    <w:p w:rsidR="00157540" w:rsidRDefault="00157540" w:rsidP="00157540">
      <w:pPr>
        <w:pStyle w:val="ad"/>
        <w:spacing w:after="0" w:line="360" w:lineRule="auto"/>
        <w:jc w:val="both"/>
        <w:rPr>
          <w:rFonts w:ascii="David" w:hAnsi="David" w:cs="David"/>
          <w:sz w:val="24"/>
          <w:szCs w:val="24"/>
        </w:rPr>
      </w:pPr>
    </w:p>
    <w:p w:rsidR="00157540" w:rsidRDefault="00157540" w:rsidP="00157540">
      <w:pPr>
        <w:spacing w:line="360" w:lineRule="auto"/>
        <w:jc w:val="both"/>
        <w:rPr>
          <w:rFonts w:ascii="David" w:hAnsi="David"/>
          <w:b/>
          <w:bCs/>
          <w:u w:val="single"/>
          <w:rtl/>
        </w:rPr>
      </w:pPr>
      <w:r>
        <w:rPr>
          <w:rFonts w:ascii="David" w:hAnsi="David"/>
          <w:b/>
          <w:bCs/>
          <w:u w:val="single"/>
          <w:rtl/>
        </w:rPr>
        <w:t xml:space="preserve">רקע מתבקש </w:t>
      </w:r>
    </w:p>
    <w:p w:rsidR="00157540" w:rsidRDefault="00157540" w:rsidP="00157540">
      <w:pPr>
        <w:pStyle w:val="ad"/>
        <w:numPr>
          <w:ilvl w:val="0"/>
          <w:numId w:val="1"/>
        </w:numPr>
        <w:spacing w:after="0" w:line="360" w:lineRule="auto"/>
        <w:jc w:val="both"/>
        <w:rPr>
          <w:rFonts w:ascii="David" w:hAnsi="David" w:cs="David"/>
          <w:sz w:val="24"/>
          <w:szCs w:val="24"/>
        </w:rPr>
      </w:pPr>
      <w:r>
        <w:rPr>
          <w:rFonts w:ascii="David" w:hAnsi="David" w:cs="David"/>
          <w:sz w:val="24"/>
          <w:szCs w:val="24"/>
          <w:rtl/>
        </w:rPr>
        <w:t>על פי כתב התביעה (המתוקן), במועד הרלוונטי אושפזה התובעת במרכז לבריאות נפש, אשר הופעל ע"י הנתבעת. בשלב מסוים הייתה התובעת נתונה במצב פסיכוטי והצוות המטפל ידע על כי היא מצויה בסיכון לפגיעה עצמית ולאובדנות. על אף זאת הנתבעת התרשלה בשמירה על התובעת בכך שהצוות איפשר לה לצאת לחצר המחלקה ללא השגחה. התובעת טיפסה על סלעים וקפצה מהם במטרה לפגוע בעצמה (</w:t>
      </w:r>
      <w:r>
        <w:rPr>
          <w:rFonts w:ascii="David" w:hAnsi="David" w:cs="David"/>
          <w:b/>
          <w:bCs/>
          <w:sz w:val="24"/>
          <w:szCs w:val="24"/>
          <w:rtl/>
        </w:rPr>
        <w:t>להלן: "התאונה"</w:t>
      </w:r>
      <w:r>
        <w:rPr>
          <w:rFonts w:ascii="David" w:hAnsi="David" w:cs="David"/>
          <w:sz w:val="24"/>
          <w:szCs w:val="24"/>
          <w:rtl/>
        </w:rPr>
        <w:t xml:space="preserve">). לטענת התובעת כתוצאה מכך נגרמו לה נכות נפשית בשיעור </w:t>
      </w:r>
      <w:r>
        <w:rPr>
          <w:rFonts w:ascii="David" w:hAnsi="David" w:cs="David"/>
          <w:b/>
          <w:bCs/>
          <w:sz w:val="24"/>
          <w:szCs w:val="24"/>
          <w:rtl/>
        </w:rPr>
        <w:t>10%</w:t>
      </w:r>
      <w:r>
        <w:rPr>
          <w:rFonts w:ascii="David" w:hAnsi="David" w:cs="David"/>
          <w:sz w:val="24"/>
          <w:szCs w:val="24"/>
          <w:rtl/>
        </w:rPr>
        <w:t xml:space="preserve">, וכן נכות אורתופדית בשיעור </w:t>
      </w:r>
      <w:r>
        <w:rPr>
          <w:rFonts w:ascii="David" w:hAnsi="David" w:cs="David"/>
          <w:b/>
          <w:bCs/>
          <w:sz w:val="24"/>
          <w:szCs w:val="24"/>
          <w:rtl/>
        </w:rPr>
        <w:t>19%</w:t>
      </w:r>
      <w:r>
        <w:rPr>
          <w:rFonts w:ascii="David" w:hAnsi="David" w:cs="David"/>
          <w:sz w:val="24"/>
          <w:szCs w:val="24"/>
          <w:rtl/>
        </w:rPr>
        <w:t xml:space="preserve">. נכות זו מורכבת מנכות בשיעור </w:t>
      </w:r>
      <w:r>
        <w:rPr>
          <w:rFonts w:ascii="David" w:hAnsi="David" w:cs="David"/>
          <w:b/>
          <w:bCs/>
          <w:sz w:val="24"/>
          <w:szCs w:val="24"/>
          <w:rtl/>
        </w:rPr>
        <w:t>10%</w:t>
      </w:r>
      <w:r>
        <w:rPr>
          <w:rFonts w:ascii="David" w:hAnsi="David" w:cs="David"/>
          <w:sz w:val="24"/>
          <w:szCs w:val="24"/>
          <w:rtl/>
        </w:rPr>
        <w:t xml:space="preserve"> בגין מגבלה בתנועות הכתף וכן מנכות בשיעור </w:t>
      </w:r>
      <w:r>
        <w:rPr>
          <w:rFonts w:ascii="David" w:hAnsi="David" w:cs="David"/>
          <w:b/>
          <w:bCs/>
          <w:sz w:val="24"/>
          <w:szCs w:val="24"/>
          <w:rtl/>
        </w:rPr>
        <w:t>10%</w:t>
      </w:r>
      <w:r>
        <w:rPr>
          <w:rFonts w:ascii="David" w:hAnsi="David" w:cs="David"/>
          <w:sz w:val="24"/>
          <w:szCs w:val="24"/>
          <w:rtl/>
        </w:rPr>
        <w:t xml:space="preserve"> בגין צלקת ניתוחית.</w:t>
      </w:r>
    </w:p>
    <w:p w:rsidR="00157540" w:rsidRDefault="00157540" w:rsidP="00157540">
      <w:pPr>
        <w:pStyle w:val="ad"/>
        <w:rPr>
          <w:rFonts w:ascii="David" w:hAnsi="David" w:cs="David"/>
          <w:sz w:val="24"/>
          <w:szCs w:val="24"/>
        </w:rPr>
      </w:pPr>
    </w:p>
    <w:p w:rsidR="00157540" w:rsidRDefault="00157540" w:rsidP="00157540">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הנתבעת כפרה בכך כי התרשלה כלפי התובעת, וכן כי נגרמה לה נכות כלשהי כתוצאה מן התאונה. בעלות הדין תמכו את טיעוניהן בחוות דעת רפואיות.</w:t>
      </w:r>
    </w:p>
    <w:p w:rsidR="00157540" w:rsidRDefault="00157540" w:rsidP="00157540">
      <w:pPr>
        <w:pStyle w:val="ad"/>
        <w:rPr>
          <w:rFonts w:ascii="David" w:hAnsi="David" w:cs="David"/>
          <w:sz w:val="24"/>
          <w:szCs w:val="24"/>
        </w:rPr>
      </w:pPr>
    </w:p>
    <w:p w:rsidR="00157540" w:rsidRDefault="00157540" w:rsidP="00157540">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בהעדר הסכמה בין הצדדים באשר לגובה הנכות האורתופדית, ניתנה ביום 23.5.24 החלטתי, בה הוריתי על מינויו של פרופ' בלנקשטיין כמומחה מטעם בית המשפט בתחום האורתופדיה (</w:t>
      </w:r>
      <w:r>
        <w:rPr>
          <w:rFonts w:ascii="David" w:hAnsi="David" w:cs="David"/>
          <w:b/>
          <w:bCs/>
          <w:sz w:val="24"/>
          <w:szCs w:val="24"/>
          <w:rtl/>
        </w:rPr>
        <w:t>להלן גם: "המומחה" ו"החלטת המינוי", בהתאם</w:t>
      </w:r>
      <w:r>
        <w:rPr>
          <w:rFonts w:ascii="David" w:hAnsi="David" w:cs="David"/>
          <w:sz w:val="24"/>
          <w:szCs w:val="24"/>
          <w:rtl/>
        </w:rPr>
        <w:t>). בהחלטת המינוי התבקש המומחה לחוות את דעתו בשאלה האם נותרה לתובעת נכות כתוצאה מן התאונה מושא התביעה, כמו גם "לחוות את דעתו בנקודות השנויות במחלוקת כפי העולה מחוות דעת הצדדים". הצדדים התבקשו להעביר לעיון המומחה את התיעוד הרפואי המצוי בידם.</w:t>
      </w:r>
    </w:p>
    <w:p w:rsidR="00157540" w:rsidRDefault="00157540" w:rsidP="00157540">
      <w:pPr>
        <w:pStyle w:val="ad"/>
        <w:rPr>
          <w:rFonts w:ascii="David" w:hAnsi="David" w:cs="David"/>
          <w:sz w:val="24"/>
          <w:szCs w:val="24"/>
        </w:rPr>
      </w:pPr>
    </w:p>
    <w:p w:rsidR="00157540" w:rsidRDefault="00157540" w:rsidP="00157540">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בד בבד שוגרה "הודעת מינוי פורמאלית", בה צוין בין היתר כי "המומחה יעיין במסמכים הרפואיים </w:t>
      </w:r>
      <w:r>
        <w:rPr>
          <w:rFonts w:ascii="David" w:hAnsi="David" w:cs="David"/>
          <w:b/>
          <w:bCs/>
          <w:sz w:val="24"/>
          <w:szCs w:val="24"/>
          <w:rtl/>
        </w:rPr>
        <w:t>ובחוות הדעת</w:t>
      </w:r>
      <w:r>
        <w:rPr>
          <w:rFonts w:ascii="David" w:hAnsi="David" w:cs="David"/>
          <w:sz w:val="24"/>
          <w:szCs w:val="24"/>
          <w:rtl/>
        </w:rPr>
        <w:t xml:space="preserve"> אשר יומצאו לו ע"י ב"כ בעלי הדין..." (</w:t>
      </w:r>
      <w:r>
        <w:rPr>
          <w:rFonts w:ascii="David" w:hAnsi="David" w:cs="David"/>
          <w:sz w:val="24"/>
          <w:szCs w:val="24"/>
          <w:u w:val="single"/>
          <w:rtl/>
        </w:rPr>
        <w:t>ההדגשה במקור</w:t>
      </w:r>
      <w:r>
        <w:rPr>
          <w:rFonts w:ascii="David" w:hAnsi="David" w:cs="David"/>
          <w:sz w:val="24"/>
          <w:szCs w:val="24"/>
          <w:rtl/>
        </w:rPr>
        <w:t>).</w:t>
      </w:r>
    </w:p>
    <w:p w:rsidR="00157540" w:rsidRDefault="00157540" w:rsidP="00157540">
      <w:pPr>
        <w:pStyle w:val="ad"/>
        <w:rPr>
          <w:rFonts w:ascii="David" w:hAnsi="David" w:cs="David"/>
          <w:sz w:val="24"/>
          <w:szCs w:val="24"/>
        </w:rPr>
      </w:pPr>
    </w:p>
    <w:p w:rsidR="00157540" w:rsidRDefault="00157540" w:rsidP="00157540">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ביום 26.8.24 התקבלה חוות דעת המומחה (מיום 4.7.24 – </w:t>
      </w:r>
      <w:r>
        <w:rPr>
          <w:rFonts w:ascii="David" w:hAnsi="David" w:cs="David"/>
          <w:b/>
          <w:bCs/>
          <w:sz w:val="24"/>
          <w:szCs w:val="24"/>
          <w:rtl/>
        </w:rPr>
        <w:t>להלן גם: "חוות הדעת"</w:t>
      </w:r>
      <w:r>
        <w:rPr>
          <w:rFonts w:ascii="David" w:hAnsi="David" w:cs="David"/>
          <w:sz w:val="24"/>
          <w:szCs w:val="24"/>
          <w:rtl/>
        </w:rPr>
        <w:t xml:space="preserve">). בחוות הדעת צוין בין היתר כי כתוצאה מן התאונה סבלה התובעת מחבלה בכתף ובעצם הבריח משמאל, וכי היא סובלת ממגבלות תנועה בעלות השפעה בינונית על כושר הפעולה. המומחה הוסיף וקבע כי נותרה לתובעת נכות צמיתה בשיעור </w:t>
      </w:r>
      <w:r>
        <w:rPr>
          <w:rFonts w:ascii="David" w:hAnsi="David" w:cs="David"/>
          <w:b/>
          <w:bCs/>
          <w:sz w:val="24"/>
          <w:szCs w:val="24"/>
          <w:rtl/>
        </w:rPr>
        <w:t>20%</w:t>
      </w:r>
      <w:r>
        <w:rPr>
          <w:rFonts w:ascii="David" w:hAnsi="David" w:cs="David"/>
          <w:sz w:val="24"/>
          <w:szCs w:val="24"/>
          <w:rtl/>
        </w:rPr>
        <w:t xml:space="preserve"> וכן נכויות זמניות בשיעור 100% למשך שישה שבועות ובשיעור 50% למשך שלשה שבועות נוספים.</w:t>
      </w:r>
    </w:p>
    <w:p w:rsidR="00157540" w:rsidRDefault="00157540" w:rsidP="00157540">
      <w:pPr>
        <w:pStyle w:val="ad"/>
        <w:rPr>
          <w:rFonts w:ascii="David" w:hAnsi="David" w:cs="David"/>
          <w:sz w:val="24"/>
          <w:szCs w:val="24"/>
        </w:rPr>
      </w:pPr>
    </w:p>
    <w:p w:rsidR="00157540" w:rsidRDefault="00157540" w:rsidP="00157540">
      <w:pPr>
        <w:spacing w:line="360" w:lineRule="auto"/>
        <w:jc w:val="both"/>
        <w:rPr>
          <w:rFonts w:ascii="David" w:hAnsi="David"/>
          <w:b/>
          <w:bCs/>
          <w:u w:val="single"/>
          <w:rtl/>
        </w:rPr>
      </w:pPr>
      <w:r>
        <w:rPr>
          <w:rFonts w:ascii="David" w:hAnsi="David"/>
          <w:b/>
          <w:bCs/>
          <w:u w:val="single"/>
          <w:rtl/>
        </w:rPr>
        <w:t>הבקשה וטיב המחלוקת</w:t>
      </w:r>
    </w:p>
    <w:p w:rsidR="00157540" w:rsidRDefault="00157540" w:rsidP="00157540">
      <w:pPr>
        <w:pStyle w:val="ad"/>
        <w:rPr>
          <w:rFonts w:ascii="David" w:hAnsi="David" w:cs="David"/>
          <w:sz w:val="24"/>
          <w:szCs w:val="24"/>
        </w:rPr>
      </w:pPr>
    </w:p>
    <w:p w:rsidR="00157540" w:rsidRDefault="00157540" w:rsidP="00157540">
      <w:pPr>
        <w:pStyle w:val="ad"/>
        <w:numPr>
          <w:ilvl w:val="0"/>
          <w:numId w:val="1"/>
        </w:numPr>
        <w:spacing w:after="0" w:line="360" w:lineRule="auto"/>
        <w:jc w:val="both"/>
        <w:rPr>
          <w:rFonts w:ascii="David" w:hAnsi="David" w:cs="David"/>
          <w:sz w:val="24"/>
          <w:szCs w:val="24"/>
          <w:rtl/>
        </w:rPr>
      </w:pPr>
      <w:r>
        <w:rPr>
          <w:rFonts w:ascii="David" w:hAnsi="David" w:cs="David"/>
          <w:b/>
          <w:bCs/>
          <w:sz w:val="24"/>
          <w:szCs w:val="24"/>
          <w:rtl/>
        </w:rPr>
        <w:t>הנתבעת</w:t>
      </w:r>
      <w:r>
        <w:rPr>
          <w:rFonts w:ascii="David" w:hAnsi="David" w:cs="David"/>
          <w:sz w:val="24"/>
          <w:szCs w:val="24"/>
          <w:rtl/>
        </w:rPr>
        <w:t xml:space="preserve"> עותרת לפסילת חוות הדעת. תמצית טיעוניה הם כי חוות הדעת שמטעמה לא עמדה בפני המומחה, אשר ממילא לא התייחס אליה. מטעם זה אין מנוס מפסילת חוות הדעת, כנלמד מן האמור ברע"א 1834/18 </w:t>
      </w:r>
      <w:r>
        <w:rPr>
          <w:rFonts w:ascii="David" w:hAnsi="David" w:cs="David"/>
          <w:b/>
          <w:bCs/>
          <w:sz w:val="24"/>
          <w:szCs w:val="24"/>
          <w:rtl/>
        </w:rPr>
        <w:t>שירותי בריאות כללית נ' פלונית</w:t>
      </w:r>
      <w:r>
        <w:rPr>
          <w:rFonts w:ascii="David" w:hAnsi="David" w:cs="David"/>
          <w:sz w:val="24"/>
          <w:szCs w:val="24"/>
          <w:rtl/>
        </w:rPr>
        <w:t xml:space="preserve"> (3.5.18). המומחה נמנע מלפעול כאמור בהחלטת המינוי ובהודעת המינוי. כמו כן אישר כי הוא נמנע מלעיין בחוות הדעת מטעם הנתבעת על אף כי זו הומצאה לו (כעולה מנספחים 1 ו- 4 לבקשה). את חוות הדעת שלח המומחה לב"כ התובעת בלבד. לשיטת הנתבעת, אף אם ההימנעות מן העיון בחוות הדעת מטעמה נבעה משגגה שבתום לב, מן הדין לקבל את בקשתה ולמנות מומחה חלופי.</w:t>
      </w:r>
    </w:p>
    <w:p w:rsidR="00157540" w:rsidRDefault="00157540" w:rsidP="00157540">
      <w:pPr>
        <w:pStyle w:val="ad"/>
        <w:spacing w:after="0" w:line="360" w:lineRule="auto"/>
        <w:jc w:val="both"/>
        <w:rPr>
          <w:rFonts w:ascii="David" w:hAnsi="David" w:cs="David"/>
          <w:sz w:val="24"/>
          <w:szCs w:val="24"/>
          <w:rtl/>
        </w:rPr>
      </w:pPr>
    </w:p>
    <w:p w:rsidR="00157540" w:rsidRDefault="00157540" w:rsidP="00157540">
      <w:pPr>
        <w:pStyle w:val="ad"/>
        <w:numPr>
          <w:ilvl w:val="0"/>
          <w:numId w:val="1"/>
        </w:numPr>
        <w:spacing w:after="0" w:line="360" w:lineRule="auto"/>
        <w:jc w:val="both"/>
        <w:rPr>
          <w:rFonts w:ascii="David" w:hAnsi="David" w:cs="David"/>
          <w:sz w:val="24"/>
          <w:szCs w:val="24"/>
        </w:rPr>
      </w:pPr>
      <w:r>
        <w:rPr>
          <w:rFonts w:ascii="David" w:hAnsi="David" w:cs="David"/>
          <w:sz w:val="24"/>
          <w:szCs w:val="24"/>
          <w:rtl/>
        </w:rPr>
        <w:t>עובר למתן תשובת התובעת לבקשה נעתרתי לבקשתה לברר עם המומחה האם חוות הדעת מטעמה עמדה לעיונו. במכתבו מיום 12.9.24 ציין המומחה כי גם חוות הדעת מטעם התובעת לא עמדה לעיונו עובר למתן חוות דעתו.</w:t>
      </w:r>
    </w:p>
    <w:p w:rsidR="00157540" w:rsidRDefault="00157540" w:rsidP="00157540">
      <w:pPr>
        <w:pStyle w:val="ad"/>
        <w:spacing w:after="0" w:line="360" w:lineRule="auto"/>
        <w:jc w:val="both"/>
        <w:rPr>
          <w:rFonts w:ascii="David" w:hAnsi="David" w:cs="David"/>
          <w:sz w:val="24"/>
          <w:szCs w:val="24"/>
        </w:rPr>
      </w:pPr>
    </w:p>
    <w:p w:rsidR="00157540" w:rsidRDefault="00157540" w:rsidP="00157540">
      <w:pPr>
        <w:pStyle w:val="ad"/>
        <w:numPr>
          <w:ilvl w:val="0"/>
          <w:numId w:val="1"/>
        </w:numPr>
        <w:spacing w:after="0" w:line="360" w:lineRule="auto"/>
        <w:jc w:val="both"/>
        <w:rPr>
          <w:rFonts w:ascii="David" w:hAnsi="David" w:cs="David"/>
          <w:sz w:val="24"/>
          <w:szCs w:val="24"/>
        </w:rPr>
      </w:pPr>
      <w:r>
        <w:rPr>
          <w:rFonts w:ascii="David" w:hAnsi="David" w:cs="David"/>
          <w:b/>
          <w:bCs/>
          <w:sz w:val="24"/>
          <w:szCs w:val="24"/>
          <w:rtl/>
        </w:rPr>
        <w:t>התובעת</w:t>
      </w:r>
      <w:r>
        <w:rPr>
          <w:rFonts w:ascii="David" w:hAnsi="David" w:cs="David"/>
          <w:sz w:val="24"/>
          <w:szCs w:val="24"/>
          <w:rtl/>
        </w:rPr>
        <w:t xml:space="preserve"> מתנגדת לפסילת חוות הדעת. לשיטתה, בהינתן כי המומחה נמנע מלעיין בחוות דעת </w:t>
      </w:r>
      <w:r>
        <w:rPr>
          <w:rFonts w:ascii="David" w:hAnsi="David" w:cs="David"/>
          <w:i/>
          <w:iCs/>
          <w:sz w:val="24"/>
          <w:szCs w:val="24"/>
          <w:rtl/>
        </w:rPr>
        <w:t>שני</w:t>
      </w:r>
      <w:r>
        <w:rPr>
          <w:rFonts w:ascii="David" w:hAnsi="David" w:cs="David"/>
          <w:sz w:val="24"/>
          <w:szCs w:val="24"/>
          <w:rtl/>
        </w:rPr>
        <w:t xml:space="preserve"> </w:t>
      </w:r>
      <w:r>
        <w:rPr>
          <w:rFonts w:ascii="David" w:hAnsi="David" w:cs="David"/>
          <w:i/>
          <w:iCs/>
          <w:sz w:val="24"/>
          <w:szCs w:val="24"/>
          <w:rtl/>
        </w:rPr>
        <w:t>הצדדים</w:t>
      </w:r>
      <w:r>
        <w:rPr>
          <w:rFonts w:ascii="David" w:hAnsi="David" w:cs="David"/>
          <w:sz w:val="24"/>
          <w:szCs w:val="24"/>
          <w:rtl/>
        </w:rPr>
        <w:t xml:space="preserve">, יש מקום להורות לו לבצע השלמה לחוות דעתו, לאחר עיון בהן. אין </w:t>
      </w:r>
      <w:r>
        <w:rPr>
          <w:rFonts w:ascii="David" w:hAnsi="David" w:cs="David"/>
          <w:sz w:val="24"/>
          <w:szCs w:val="24"/>
          <w:rtl/>
        </w:rPr>
        <w:lastRenderedPageBreak/>
        <w:t xml:space="preserve">לגזור גזירה שווה מן האמור בהחלטה בעניין </w:t>
      </w:r>
      <w:r>
        <w:rPr>
          <w:rFonts w:ascii="David" w:hAnsi="David" w:cs="David"/>
          <w:b/>
          <w:bCs/>
          <w:sz w:val="24"/>
          <w:szCs w:val="24"/>
          <w:rtl/>
        </w:rPr>
        <w:t>שירותי בריאות כללית</w:t>
      </w:r>
      <w:r>
        <w:rPr>
          <w:rFonts w:ascii="David" w:hAnsi="David" w:cs="David"/>
          <w:sz w:val="24"/>
          <w:szCs w:val="24"/>
          <w:rtl/>
        </w:rPr>
        <w:t xml:space="preserve"> שכן זו עסקה במצב דברים בו המומחה נמנע מלעיין בחוות דעתו של צד אחד בלבד. </w:t>
      </w:r>
    </w:p>
    <w:p w:rsidR="00157540" w:rsidRDefault="00157540" w:rsidP="00157540">
      <w:pPr>
        <w:pStyle w:val="ad"/>
        <w:spacing w:after="0" w:line="360" w:lineRule="auto"/>
        <w:jc w:val="both"/>
        <w:rPr>
          <w:rFonts w:ascii="David" w:hAnsi="David" w:cs="David"/>
          <w:sz w:val="24"/>
          <w:szCs w:val="24"/>
        </w:rPr>
      </w:pPr>
      <w:r>
        <w:rPr>
          <w:rFonts w:ascii="David" w:hAnsi="David" w:cs="David"/>
          <w:sz w:val="24"/>
          <w:szCs w:val="24"/>
          <w:rtl/>
        </w:rPr>
        <w:t>הלכה היא כי פסילת חוות דעת מומחה תיעשה רק במקרים נדירים כגון כאשר נפל פגם היורד לשורשו של עניין ושיש בו כדי לגרום לעיוות דין קשה. חוות הדעת ניתנה ע"י מומחה אובייקטיבי ומקום בו ניתן לרפא פגם באמצעי מתון יותר חלף פסילה, יש לעשות כן. עוד ציינה כי הנתבעת עותרת לפסילת חוות הדעת אך משום שמסקנותיה אינן נוחות לה וזאת אין להתיר. קבלת הבקשה תביא להתארכות ההליך ולעלויות נוספות לצדדים.</w:t>
      </w:r>
    </w:p>
    <w:p w:rsidR="00157540" w:rsidRDefault="00157540" w:rsidP="00157540">
      <w:pPr>
        <w:pStyle w:val="ad"/>
        <w:rPr>
          <w:rFonts w:ascii="David" w:hAnsi="David" w:cs="David"/>
          <w:sz w:val="24"/>
          <w:szCs w:val="24"/>
        </w:rPr>
      </w:pPr>
    </w:p>
    <w:p w:rsidR="00157540" w:rsidRDefault="00157540" w:rsidP="00157540">
      <w:pPr>
        <w:pStyle w:val="ad"/>
        <w:numPr>
          <w:ilvl w:val="0"/>
          <w:numId w:val="1"/>
        </w:numPr>
        <w:spacing w:after="0" w:line="360" w:lineRule="auto"/>
        <w:jc w:val="both"/>
        <w:rPr>
          <w:rFonts w:ascii="David" w:hAnsi="David" w:cs="David"/>
          <w:sz w:val="24"/>
          <w:szCs w:val="24"/>
          <w:rtl/>
        </w:rPr>
      </w:pPr>
      <w:r>
        <w:rPr>
          <w:rFonts w:ascii="David" w:hAnsi="David" w:cs="David"/>
          <w:b/>
          <w:bCs/>
          <w:sz w:val="24"/>
          <w:szCs w:val="24"/>
          <w:rtl/>
        </w:rPr>
        <w:t>בתגובה</w:t>
      </w:r>
      <w:r>
        <w:rPr>
          <w:rFonts w:ascii="David" w:hAnsi="David" w:cs="David"/>
          <w:sz w:val="24"/>
          <w:szCs w:val="24"/>
          <w:rtl/>
        </w:rPr>
        <w:t xml:space="preserve"> לתשובת התובעת הדגישה הנתבעת כי המומחה פעל בניגוד גמור להחלטת המינוי ובהתעלם ממנה. הימנעותו מעיון בחוות דעת הצדדים מהווה פגם מובנה בחוות דעתו. לאחר שהובהר כי לא עיין בחוות דעת הצדדים, ביקש המומחה לעיין בהן ובכך אישר כי עליו לקבלן על מנת לגבש את חוות דעתו. דחיית הבקשה תביא לסרבול ההליך שכן הנתבעת בהכרח תבקש לחקור את המומחה. גם הפער המשמעותי בין הקביעות השונות באשר לגובה הנכות האורתופדית מצדיק את קבלת הבקשה. </w:t>
      </w:r>
    </w:p>
    <w:p w:rsidR="00157540" w:rsidRDefault="00157540" w:rsidP="00157540">
      <w:pPr>
        <w:pStyle w:val="ad"/>
        <w:rPr>
          <w:rFonts w:ascii="David" w:hAnsi="David" w:cs="David"/>
          <w:sz w:val="24"/>
          <w:szCs w:val="24"/>
        </w:rPr>
      </w:pPr>
    </w:p>
    <w:p w:rsidR="00157540" w:rsidRDefault="00157540" w:rsidP="00157540">
      <w:pPr>
        <w:pStyle w:val="ad"/>
        <w:spacing w:after="0" w:line="360" w:lineRule="auto"/>
        <w:jc w:val="both"/>
        <w:rPr>
          <w:rFonts w:ascii="David" w:hAnsi="David" w:cs="David"/>
          <w:sz w:val="24"/>
          <w:szCs w:val="24"/>
          <w:rtl/>
        </w:rPr>
      </w:pPr>
      <w:r>
        <w:rPr>
          <w:rFonts w:ascii="David" w:hAnsi="David" w:cs="David"/>
          <w:sz w:val="24"/>
          <w:szCs w:val="24"/>
          <w:rtl/>
        </w:rPr>
        <w:t xml:space="preserve">בדיון שהתקיים שבו הצדדים בקצרה על טיעונם. </w:t>
      </w:r>
    </w:p>
    <w:p w:rsidR="00157540" w:rsidRDefault="00157540" w:rsidP="00157540">
      <w:pPr>
        <w:pStyle w:val="ad"/>
        <w:rPr>
          <w:rFonts w:ascii="David" w:hAnsi="David" w:cs="David"/>
          <w:sz w:val="24"/>
          <w:szCs w:val="24"/>
          <w:rtl/>
        </w:rPr>
      </w:pPr>
    </w:p>
    <w:p w:rsidR="00157540" w:rsidRDefault="00157540" w:rsidP="00157540">
      <w:pPr>
        <w:spacing w:line="360" w:lineRule="auto"/>
        <w:jc w:val="both"/>
        <w:rPr>
          <w:rFonts w:ascii="David" w:hAnsi="David"/>
          <w:b/>
          <w:bCs/>
          <w:u w:val="single"/>
          <w:rtl/>
        </w:rPr>
      </w:pPr>
      <w:r>
        <w:rPr>
          <w:rFonts w:ascii="David" w:hAnsi="David"/>
          <w:b/>
          <w:bCs/>
          <w:u w:val="single"/>
          <w:rtl/>
        </w:rPr>
        <w:t>דיון והכרעה</w:t>
      </w:r>
    </w:p>
    <w:p w:rsidR="00157540" w:rsidRDefault="00157540" w:rsidP="00157540">
      <w:pPr>
        <w:pStyle w:val="ad"/>
        <w:numPr>
          <w:ilvl w:val="0"/>
          <w:numId w:val="1"/>
        </w:numPr>
        <w:spacing w:after="0" w:line="360" w:lineRule="auto"/>
        <w:jc w:val="both"/>
        <w:rPr>
          <w:rFonts w:ascii="David" w:hAnsi="David" w:cs="David"/>
          <w:sz w:val="24"/>
          <w:szCs w:val="24"/>
        </w:rPr>
      </w:pPr>
      <w:r>
        <w:rPr>
          <w:rFonts w:ascii="David" w:hAnsi="David" w:cs="David"/>
          <w:sz w:val="24"/>
          <w:szCs w:val="24"/>
          <w:rtl/>
        </w:rPr>
        <w:t>לאחר שבחנתי את כלל טיעוני הצדדים והבהרות המומחה מצאתי כי דין הבקשה להתקבל. להלן טעמיי.</w:t>
      </w:r>
    </w:p>
    <w:p w:rsidR="00157540" w:rsidRDefault="00157540" w:rsidP="00157540">
      <w:pPr>
        <w:pStyle w:val="ad"/>
        <w:spacing w:after="0" w:line="360" w:lineRule="auto"/>
        <w:rPr>
          <w:rFonts w:ascii="David" w:hAnsi="David" w:cs="David"/>
          <w:sz w:val="24"/>
          <w:szCs w:val="24"/>
          <w:rtl/>
        </w:rPr>
      </w:pPr>
    </w:p>
    <w:p w:rsidR="00157540" w:rsidRDefault="00157540" w:rsidP="00157540">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כידוע, מומחה שמונה מטעם בית המשפט כמוהו כזרועו הארוכה, כך במיוחד בתחום הרפואה. המומחה זוכה לאמון רב בין היתר מכוח חזקת התקינות וחזקת המקצועיות המיוחסות לו. הנחת המוצא היא כי המומחה יבצע מלאכתו נאמנה וכי יפעל בהגינות ומקצועיות (ראו עניין </w:t>
      </w:r>
      <w:r>
        <w:rPr>
          <w:rFonts w:ascii="David" w:hAnsi="David" w:cs="David"/>
          <w:b/>
          <w:bCs/>
          <w:sz w:val="24"/>
          <w:szCs w:val="24"/>
          <w:rtl/>
        </w:rPr>
        <w:t>שירותי בריאות כללית</w:t>
      </w:r>
      <w:r>
        <w:rPr>
          <w:rFonts w:ascii="David" w:hAnsi="David" w:cs="David"/>
          <w:sz w:val="24"/>
          <w:szCs w:val="24"/>
          <w:rtl/>
        </w:rPr>
        <w:t xml:space="preserve"> הנ"ל, סע' 12 והאסמכתאות שם). לצד חזקות אלה מוטלות על המומחה חובות אמון לנהוג בתום לב, באובייקטיביות, שלא בניגוד עניינים ותוך הקפדה על מראית עין של התנהלות תקינה. עוד מוטלות עליו חובות מקצועיות בגדרן הוא נדרש לשקף בחוות דעתו את מצבו האמיתי של הניזוק על יסוד כלל התיעוד הרפואי ומיטב הערכתו המקצועית. בכלל זה, חובה על המומחה לעיין בחוות הדעת מטעם שני הצדדים בטרם יגבש את מסקנותיו (שם, שם).</w:t>
      </w:r>
    </w:p>
    <w:p w:rsidR="00157540" w:rsidRDefault="00157540" w:rsidP="00157540">
      <w:pPr>
        <w:pStyle w:val="ad"/>
        <w:rPr>
          <w:rFonts w:ascii="David" w:hAnsi="David" w:cs="David"/>
          <w:sz w:val="24"/>
          <w:szCs w:val="24"/>
        </w:rPr>
      </w:pPr>
    </w:p>
    <w:p w:rsidR="00157540" w:rsidRDefault="00157540" w:rsidP="00157540">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במקרה בו המומחה מפר את חובותיו באופן המקשה על אימוץ חוות דעתו, עומדות בפני בית המשפט שלש דרכי פעולה:  מתן הכרעה על יסוד כלל הקיים ואפשר אף אגב סטייה ממסקנות המומחה; מינוי מומחה נוסף או פסילת חוות הדעת ומינוי מומחה חלופי. פסילה </w:t>
      </w:r>
      <w:r>
        <w:rPr>
          <w:rFonts w:ascii="David" w:hAnsi="David" w:cs="David"/>
          <w:sz w:val="24"/>
          <w:szCs w:val="24"/>
          <w:rtl/>
        </w:rPr>
        <w:lastRenderedPageBreak/>
        <w:t>כאמור תבוא בגדר חריג בלבד, מקום בו נפל פגם היורד לשורש העניין והעלול לגרום לעיוות דין למי מבעלי הדין. ככל שהפרת החובה תהא חמורה יותר כן ייטה בית המשפט לנקיטת צעד קיצוני יותר. כל זאת ייעשה תוך איזון בין מניעת עיוות דין מחד, ולבין שיקולי מדיניות ובהם הגנה על מעמדם של מומחים, מניעת ניצול לרעה של ההליך המשפטי, יעילות דיונית ועוד, מנגד (שם, סע' 13).</w:t>
      </w:r>
    </w:p>
    <w:p w:rsidR="00157540" w:rsidRDefault="00157540" w:rsidP="00157540">
      <w:pPr>
        <w:pStyle w:val="ad"/>
        <w:rPr>
          <w:rFonts w:ascii="David" w:hAnsi="David" w:cs="David"/>
          <w:sz w:val="24"/>
          <w:szCs w:val="24"/>
        </w:rPr>
      </w:pPr>
    </w:p>
    <w:p w:rsidR="00157540" w:rsidRDefault="00157540" w:rsidP="00157540">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בהליך שמכוח פקודת הנזיקין [נוסח חדש], חוות הדעת הרפואיות שמטעם הצדדים מגלמות למעשה את עיקר טיעונם ביחס לחבות ולמצבו הרפואי של הניזוק. מכאן החשיבות הרבה בכך כי הן תעמודנה לעיונו של מומחה בית המשפט בטרם יגבש את חוות דעתו. גיבוש חוות דעת לאחר עיון בחוות דעת מטעם אחד מן הצדדים בלבד כמוהו כמתן פסק דין בהעדר כתב טענות של מי מבעלי הדין. מדובר באי מילוי חובה מקצועית ע"י המומחה באופן הפוגע בזכות הטיעון של אותו צד. משכך, גם אם נבע הדבר בשל שגגה שבתום לב המדובר בפגם מהותי המחייב את פסילת חוות הדעת (שם, סע' 14).</w:t>
      </w:r>
    </w:p>
    <w:p w:rsidR="00157540" w:rsidRDefault="00157540" w:rsidP="00157540">
      <w:pPr>
        <w:pStyle w:val="ad"/>
        <w:rPr>
          <w:rFonts w:ascii="David" w:hAnsi="David" w:cs="David"/>
          <w:sz w:val="24"/>
          <w:szCs w:val="24"/>
        </w:rPr>
      </w:pPr>
    </w:p>
    <w:p w:rsidR="00157540" w:rsidRDefault="00157540" w:rsidP="00157540">
      <w:pPr>
        <w:pStyle w:val="ad"/>
        <w:spacing w:after="0" w:line="360" w:lineRule="auto"/>
        <w:jc w:val="both"/>
        <w:rPr>
          <w:rFonts w:ascii="David" w:hAnsi="David" w:cs="David"/>
          <w:sz w:val="24"/>
          <w:szCs w:val="24"/>
          <w:rtl/>
        </w:rPr>
      </w:pPr>
      <w:r>
        <w:rPr>
          <w:rFonts w:ascii="David" w:hAnsi="David" w:cs="David"/>
          <w:sz w:val="24"/>
          <w:szCs w:val="24"/>
          <w:rtl/>
        </w:rPr>
        <w:t>ומכאן לענייננו.</w:t>
      </w:r>
    </w:p>
    <w:p w:rsidR="00157540" w:rsidRDefault="00157540" w:rsidP="00157540">
      <w:pPr>
        <w:pStyle w:val="ad"/>
        <w:spacing w:after="0" w:line="360" w:lineRule="auto"/>
        <w:jc w:val="both"/>
        <w:rPr>
          <w:rFonts w:ascii="David" w:hAnsi="David" w:cs="David"/>
          <w:sz w:val="24"/>
          <w:szCs w:val="24"/>
          <w:rtl/>
        </w:rPr>
      </w:pPr>
    </w:p>
    <w:p w:rsidR="00157540" w:rsidRDefault="00157540" w:rsidP="00157540">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עצם הימנעות המומחה מלבחון את חוות דעת הצדדים משמעה הימנעות מלפעול בהתאם להחלטת המינוי. די בנתון זה כשלעצמו כדי להטות את הכף לעבר פסילת חוות הדעת. ההימנעות אינה אלא תצורה של חריגה מסמכות, ועל זו נאמר כי השלמה עימה באה בגדר "מסר שלילי" [רע"א 1941/19 </w:t>
      </w:r>
      <w:r>
        <w:rPr>
          <w:rFonts w:ascii="David" w:hAnsi="David" w:cs="David"/>
          <w:b/>
          <w:bCs/>
          <w:sz w:val="24"/>
          <w:szCs w:val="24"/>
          <w:rtl/>
        </w:rPr>
        <w:t>אסותא- מרכזים רפואיים נ' פלוני</w:t>
      </w:r>
      <w:r>
        <w:rPr>
          <w:rFonts w:ascii="David" w:hAnsi="David" w:cs="David"/>
          <w:sz w:val="24"/>
          <w:szCs w:val="24"/>
          <w:rtl/>
        </w:rPr>
        <w:t xml:space="preserve"> (25.6.19), סע' 20]. מכאן יש לבחון האם על אף האמור קיימת הצדקה שלא לפסול את חוות הדעת.</w:t>
      </w:r>
    </w:p>
    <w:p w:rsidR="00157540" w:rsidRDefault="00157540" w:rsidP="00157540">
      <w:pPr>
        <w:pStyle w:val="ad"/>
        <w:spacing w:after="0" w:line="360" w:lineRule="auto"/>
        <w:jc w:val="both"/>
        <w:rPr>
          <w:rFonts w:ascii="David" w:hAnsi="David" w:cs="David"/>
          <w:sz w:val="24"/>
          <w:szCs w:val="24"/>
          <w:rtl/>
        </w:rPr>
      </w:pPr>
    </w:p>
    <w:p w:rsidR="00157540" w:rsidRDefault="00157540" w:rsidP="00157540">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בנסיבות, איש מן הצדדים לא התייחס לאפשרות מינויו של מומחה נוסף. הן מטעם זה והן לגופם של דברים, לא מצאתי טעם במינוי מומחה נוסף [באשר לאבחנה שבין הטעמים למינוי מומחה נוסף ולבין מינוי מומחה אחר ראו האמור ברע"א 7479/18 </w:t>
      </w:r>
      <w:r>
        <w:rPr>
          <w:rFonts w:ascii="David" w:hAnsi="David" w:cs="David"/>
          <w:b/>
          <w:bCs/>
          <w:sz w:val="24"/>
          <w:szCs w:val="24"/>
          <w:rtl/>
        </w:rPr>
        <w:t>פלוני נ' קרנית חברה לביטוח בע"מ</w:t>
      </w:r>
      <w:r>
        <w:rPr>
          <w:rFonts w:ascii="David" w:hAnsi="David" w:cs="David"/>
          <w:sz w:val="24"/>
          <w:szCs w:val="24"/>
          <w:rtl/>
        </w:rPr>
        <w:t xml:space="preserve"> (23.1.19)].</w:t>
      </w:r>
    </w:p>
    <w:p w:rsidR="00157540" w:rsidRDefault="00157540" w:rsidP="00157540">
      <w:pPr>
        <w:pStyle w:val="ad"/>
        <w:spacing w:after="0" w:line="360" w:lineRule="auto"/>
        <w:jc w:val="both"/>
        <w:rPr>
          <w:rFonts w:ascii="David" w:hAnsi="David" w:cs="David"/>
          <w:sz w:val="24"/>
          <w:szCs w:val="24"/>
        </w:rPr>
      </w:pPr>
    </w:p>
    <w:p w:rsidR="00157540" w:rsidRDefault="00157540" w:rsidP="00157540">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כידוע, בהליך שמכוח חוק פיצויים לנפגעי תאונות דרכים, התשל"ה-1975 (חוק פלת"ד) ממונה מומחה מטעם בית המשפט, בעוד חל איסור על הגשת חוות דעת מטעם הצדדים. מנגנון הבירור מתמצה בהתאם בבדיקת המומחה את הנפגע, בחינת המידע הרלוונטי על אודותיו והסקת מסקנות באשר למצבו הרפואי. </w:t>
      </w:r>
    </w:p>
    <w:p w:rsidR="00157540" w:rsidRDefault="00157540" w:rsidP="00157540">
      <w:pPr>
        <w:pStyle w:val="ad"/>
        <w:rPr>
          <w:rFonts w:ascii="David" w:hAnsi="David" w:cs="David"/>
          <w:sz w:val="24"/>
          <w:szCs w:val="24"/>
        </w:rPr>
      </w:pPr>
    </w:p>
    <w:p w:rsidR="00157540" w:rsidRDefault="00157540" w:rsidP="00157540">
      <w:pPr>
        <w:pStyle w:val="ad"/>
        <w:spacing w:after="0" w:line="360" w:lineRule="auto"/>
        <w:jc w:val="both"/>
        <w:rPr>
          <w:rFonts w:ascii="David" w:hAnsi="David" w:cs="David"/>
          <w:sz w:val="24"/>
          <w:szCs w:val="24"/>
          <w:rtl/>
        </w:rPr>
      </w:pPr>
      <w:r>
        <w:rPr>
          <w:rFonts w:ascii="David" w:hAnsi="David" w:cs="David"/>
          <w:sz w:val="24"/>
          <w:szCs w:val="24"/>
          <w:rtl/>
        </w:rPr>
        <w:t xml:space="preserve">בשונה מכך, בהליך שמכוח פקודת הנזיקין [נוסח חדש], לא רק שזכותם של הצדדים להגיש חוות דעת מטעמם, אלא שאין הם יכולים להוכיח עניין שברפואה בלא שיעשו כן [תקנה 87(א) לתקנות סדר הדין האזרחי, תשע"ט- 2018]. מצינו לעיל כי חוות דעת מטעם בעל דין </w:t>
      </w:r>
      <w:r>
        <w:rPr>
          <w:rFonts w:ascii="David" w:hAnsi="David" w:cs="David"/>
          <w:sz w:val="24"/>
          <w:szCs w:val="24"/>
          <w:rtl/>
        </w:rPr>
        <w:lastRenderedPageBreak/>
        <w:t>מגלמת את טיעונו. בהתאם, מנגנון הבדיקה שונה מזה הקיים בהליך מכוח חוק פלת"ד: המומחה אינו נדרש "רק" לבדיקה, הערכה והסקת מסקנות. הוא נדרש בנוסף, כחלק אינהרנטי מבדיקתו, לבחינת חוות דעת הצדדים. מנגנון בדיקה זה מגלם הליך חשיבה דיאלקטי של בחינת תזות נוגדות, וגיבוש תוצר שלישי "מסונתז" של אלה (הליך הידוע כ"תזה – אנטי תיזה – סינתזה"). מנגנון זה דומה במאפייניו למנגנון ההכרעה השיפוטית הניתנת בהליך.</w:t>
      </w:r>
    </w:p>
    <w:p w:rsidR="00157540" w:rsidRDefault="00157540" w:rsidP="00157540">
      <w:pPr>
        <w:pStyle w:val="ad"/>
        <w:rPr>
          <w:rFonts w:ascii="David" w:hAnsi="David" w:cs="David"/>
          <w:sz w:val="24"/>
          <w:szCs w:val="24"/>
          <w:rtl/>
        </w:rPr>
      </w:pPr>
    </w:p>
    <w:p w:rsidR="00157540" w:rsidRDefault="00157540" w:rsidP="00157540">
      <w:pPr>
        <w:pStyle w:val="ad"/>
        <w:rPr>
          <w:rFonts w:ascii="David" w:hAnsi="David" w:cs="David"/>
          <w:sz w:val="24"/>
          <w:szCs w:val="24"/>
          <w:rtl/>
        </w:rPr>
      </w:pPr>
    </w:p>
    <w:p w:rsidR="00157540" w:rsidRDefault="00157540" w:rsidP="00157540">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מצינו לעיל כי גיבוש חוות דעת בלא עיון בחוות דעת מטעם אחד מן הצדדים משול למתן פסק דין בהעדר כתב טענות אותו צד. מכוח אותו רציונאל, גיבוש חוות דעת בלא עיון בחוות דעת מי מהצדדים כמוהו כמתן פסק דין בהעדר כתבי טענותיהם.</w:t>
      </w:r>
    </w:p>
    <w:p w:rsidR="00157540" w:rsidRDefault="00157540" w:rsidP="00157540">
      <w:pPr>
        <w:pStyle w:val="ad"/>
        <w:spacing w:after="0" w:line="360" w:lineRule="auto"/>
        <w:jc w:val="both"/>
        <w:rPr>
          <w:rFonts w:ascii="David" w:hAnsi="David" w:cs="David"/>
          <w:sz w:val="24"/>
          <w:szCs w:val="24"/>
        </w:rPr>
      </w:pPr>
    </w:p>
    <w:p w:rsidR="00157540" w:rsidRDefault="00157540" w:rsidP="00157540">
      <w:pPr>
        <w:pStyle w:val="ad"/>
        <w:spacing w:after="0" w:line="360" w:lineRule="auto"/>
        <w:jc w:val="both"/>
        <w:rPr>
          <w:rFonts w:ascii="David" w:hAnsi="David" w:cs="David"/>
          <w:sz w:val="24"/>
          <w:szCs w:val="24"/>
          <w:rtl/>
        </w:rPr>
      </w:pPr>
      <w:r>
        <w:rPr>
          <w:rFonts w:ascii="David" w:hAnsi="David" w:cs="David"/>
          <w:sz w:val="24"/>
          <w:szCs w:val="24"/>
          <w:rtl/>
        </w:rPr>
        <w:t>הימנעות מעיון כאמור מהווה סטייה מתוואי הליך החשיבה והבירור הנדרשים. עוד היא באה בגדר פעולה (וליתר דיוק- מחדל) בניגוד להחלטת המינוי, בסוגיה מהותית. אין מדובר בפגם טכני, כמתן חוות דעת לאחר חלוף המועד שנקבע בהחלטה לשם כך.</w:t>
      </w:r>
    </w:p>
    <w:p w:rsidR="00157540" w:rsidRDefault="00157540" w:rsidP="00157540">
      <w:pPr>
        <w:pStyle w:val="ad"/>
        <w:spacing w:after="0" w:line="360" w:lineRule="auto"/>
        <w:jc w:val="both"/>
        <w:rPr>
          <w:rFonts w:ascii="David" w:hAnsi="David" w:cs="David"/>
          <w:sz w:val="24"/>
          <w:szCs w:val="24"/>
        </w:rPr>
      </w:pPr>
    </w:p>
    <w:p w:rsidR="00157540" w:rsidRDefault="00157540" w:rsidP="00157540">
      <w:pPr>
        <w:pStyle w:val="ad"/>
        <w:numPr>
          <w:ilvl w:val="0"/>
          <w:numId w:val="1"/>
        </w:numPr>
        <w:spacing w:after="0" w:line="360" w:lineRule="auto"/>
        <w:jc w:val="both"/>
        <w:rPr>
          <w:rFonts w:ascii="David" w:hAnsi="David" w:cs="David"/>
          <w:sz w:val="24"/>
          <w:szCs w:val="24"/>
        </w:rPr>
      </w:pPr>
      <w:r>
        <w:rPr>
          <w:rFonts w:ascii="David" w:hAnsi="David" w:cs="David"/>
          <w:sz w:val="24"/>
          <w:szCs w:val="24"/>
          <w:rtl/>
        </w:rPr>
        <w:t>לשיטת התובעת, די בסימטריה שבענייננו (- אי עיון המומחה בחוות דעת שני הצדדים גם יחד) כדי להצדיק מסקנה שונה מזו שבוססה בעניין "שירותי בריאות כללית". דין הטענה להידחות. החשיבות בענייננו אינה בקיומה של אותה סימטריה, אלא בעצם הפגיעה המהותית בזכות הטיעון של הצדדים.</w:t>
      </w:r>
    </w:p>
    <w:p w:rsidR="00157540" w:rsidRDefault="00157540" w:rsidP="00157540">
      <w:pPr>
        <w:pStyle w:val="ad"/>
        <w:rPr>
          <w:rFonts w:ascii="David" w:hAnsi="David" w:cs="David"/>
          <w:sz w:val="24"/>
          <w:szCs w:val="24"/>
        </w:rPr>
      </w:pPr>
    </w:p>
    <w:p w:rsidR="00157540" w:rsidRDefault="00157540" w:rsidP="00157540">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יטען הטוען, כי קבלת הבקשה מקפלת בתוכה אמירה משתמעת ולפיה בית המשפט נמצא גורע בלא הצדק מהכרה בסגולות המומחה כמקצוען ואמין, אשר חזקה כי לא יהסס לשנות ממסקנותיו לאחר עיון בדיעבד, היה והדבר מוצדק. </w:t>
      </w:r>
    </w:p>
    <w:p w:rsidR="00157540" w:rsidRDefault="00157540" w:rsidP="00157540">
      <w:pPr>
        <w:pStyle w:val="ad"/>
        <w:spacing w:after="0" w:line="360" w:lineRule="auto"/>
        <w:jc w:val="both"/>
        <w:rPr>
          <w:rFonts w:ascii="David" w:hAnsi="David" w:cs="David"/>
          <w:sz w:val="24"/>
          <w:szCs w:val="24"/>
        </w:rPr>
      </w:pPr>
    </w:p>
    <w:p w:rsidR="00157540" w:rsidRDefault="00157540" w:rsidP="00157540">
      <w:pPr>
        <w:pStyle w:val="ad"/>
        <w:spacing w:after="0" w:line="360" w:lineRule="auto"/>
        <w:jc w:val="both"/>
        <w:rPr>
          <w:rFonts w:ascii="David" w:hAnsi="David" w:cs="David"/>
          <w:sz w:val="24"/>
          <w:szCs w:val="24"/>
          <w:rtl/>
        </w:rPr>
      </w:pPr>
      <w:r>
        <w:rPr>
          <w:rFonts w:ascii="David" w:hAnsi="David" w:cs="David"/>
          <w:sz w:val="24"/>
          <w:szCs w:val="24"/>
          <w:rtl/>
        </w:rPr>
        <w:t xml:space="preserve">על כך אשיב- אל תביאנו לידי ניסיון. מבלי לגרוע מסגולותיו של מומחה שמונה בכלל ושל המומחה הקונקרטי בפרט, הרי לעולם עדיפה דרך המלך. אין דין עיון בחוות דעת בדיעבד, כדין עיון בהן בטרם גיבוש מסקנה. בדיקת חוות הדעת בדיעבד אפשרית אמנם, ועם זאת אין היא באה בגדר מהלכם הטבעי - או הרצוי - של דברים. ככזו, לעולם יהא חשש מובנה כי המומחה (- כל מומחה) יתקשה ולו באופן בלתי מודע מלאמץ מסקנה שונה - קל וחמר שונה בתכלית – מזו אליה הגיע עובר לעיונו בחוות הדעת. משכך, על אף החזקה לפיה ביכולתו לעשות כן, ראוי ככל שהדבר אפשרי לייתר זאת מלכתחילה, בבחינת "כל שהוא כביצה ביצה טובה ממנו" (ברכות מד, ע"ב). </w:t>
      </w:r>
    </w:p>
    <w:p w:rsidR="00157540" w:rsidRDefault="00157540" w:rsidP="00157540">
      <w:pPr>
        <w:pStyle w:val="ad"/>
        <w:spacing w:after="0" w:line="360" w:lineRule="auto"/>
        <w:jc w:val="both"/>
        <w:rPr>
          <w:rFonts w:ascii="David" w:hAnsi="David" w:cs="David"/>
          <w:sz w:val="24"/>
          <w:szCs w:val="24"/>
        </w:rPr>
      </w:pPr>
    </w:p>
    <w:p w:rsidR="00157540" w:rsidRDefault="00157540" w:rsidP="00157540">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lastRenderedPageBreak/>
        <w:t>ניקיון הדעת מחייב גם הוא בחינה מחודשת, מלכתחילה, של כלל הנדרש. זאת ניתן לבצע רק באמצעות מומחה חלופי. יתרה מכך, ומבלי להטיל דופי כלשהו במומחה (הידוע ומוכר בתרומתו רבת השנים במתן חוות דעת לבית המשפט), נודעת חשיבות גם למראית העין, לו לאחר בחינה חוזרת היה המומחה מתקשה לשנות באופן קיצוני את עמדתו (יוזכר כי הנכות שנקבעה על ידו גבוהה מזו שנקבעה ע"י מומחה התובעת, בעוד לשיטת הנתבעת כלל לא נקבעה נכות). גם מטעם זה מצא בית המשפט העליון לקבוע את קביעותיו בעניין "שירותי בריאות כללית" (שם, סע' 16).</w:t>
      </w:r>
    </w:p>
    <w:p w:rsidR="00157540" w:rsidRDefault="00157540" w:rsidP="00157540">
      <w:pPr>
        <w:pStyle w:val="ad"/>
        <w:spacing w:after="0" w:line="360" w:lineRule="auto"/>
        <w:jc w:val="both"/>
        <w:rPr>
          <w:rFonts w:ascii="David" w:hAnsi="David" w:cs="David"/>
          <w:sz w:val="24"/>
          <w:szCs w:val="24"/>
        </w:rPr>
      </w:pPr>
    </w:p>
    <w:p w:rsidR="00157540" w:rsidRDefault="00157540" w:rsidP="00157540">
      <w:pPr>
        <w:pStyle w:val="ad"/>
        <w:numPr>
          <w:ilvl w:val="0"/>
          <w:numId w:val="1"/>
        </w:numPr>
        <w:spacing w:after="0" w:line="360" w:lineRule="auto"/>
        <w:jc w:val="both"/>
        <w:rPr>
          <w:rFonts w:ascii="David" w:hAnsi="David" w:cs="David"/>
          <w:sz w:val="24"/>
          <w:szCs w:val="24"/>
        </w:rPr>
      </w:pPr>
      <w:r>
        <w:rPr>
          <w:rFonts w:ascii="David" w:hAnsi="David" w:cs="David"/>
          <w:sz w:val="24"/>
          <w:szCs w:val="24"/>
          <w:rtl/>
        </w:rPr>
        <w:t>לאור כל האמור מסקנתי היא כי אין מנוס מפסילת חוות הדעת. הפגם המובנה שבהליך הבדיקה אינו ניתן לריפוי ע"י עיון בדיעבד בחוות דעת הצדדים. באיזון שבין הרצון למנוע עיוות דין אפשרי ולבין שיקולי המדיניות שפורטו לעיל, יד הראשון גוברת.</w:t>
      </w:r>
    </w:p>
    <w:p w:rsidR="00157540" w:rsidRDefault="00157540" w:rsidP="00157540">
      <w:pPr>
        <w:pStyle w:val="ad"/>
        <w:rPr>
          <w:rFonts w:ascii="David" w:hAnsi="David" w:cs="David"/>
          <w:sz w:val="24"/>
          <w:szCs w:val="24"/>
        </w:rPr>
      </w:pPr>
    </w:p>
    <w:p w:rsidR="00157540" w:rsidRDefault="00157540" w:rsidP="00157540">
      <w:pPr>
        <w:spacing w:line="360" w:lineRule="auto"/>
        <w:jc w:val="both"/>
        <w:rPr>
          <w:rFonts w:ascii="David" w:hAnsi="David"/>
          <w:rtl/>
        </w:rPr>
      </w:pPr>
      <w:r>
        <w:rPr>
          <w:rFonts w:ascii="David" w:hAnsi="David"/>
          <w:rtl/>
        </w:rPr>
        <w:t>אשר על כן אני מורה על פסילת חוות דעתו של המומחה. החלטה בדבר מינויו של מומחה חלופי תינתן בנפרד.</w:t>
      </w:r>
    </w:p>
    <w:p w:rsidR="00157540" w:rsidRDefault="00157540" w:rsidP="00157540">
      <w:pPr>
        <w:spacing w:line="360" w:lineRule="auto"/>
        <w:jc w:val="both"/>
        <w:rPr>
          <w:rFonts w:ascii="David" w:hAnsi="David"/>
          <w:rtl/>
        </w:rPr>
      </w:pPr>
    </w:p>
    <w:p w:rsidR="00157540" w:rsidRDefault="00157540" w:rsidP="00157540">
      <w:pPr>
        <w:spacing w:line="360" w:lineRule="auto"/>
        <w:jc w:val="both"/>
        <w:rPr>
          <w:rFonts w:ascii="David" w:hAnsi="David"/>
          <w:rtl/>
        </w:rPr>
      </w:pPr>
      <w:r>
        <w:rPr>
          <w:rFonts w:ascii="David" w:hAnsi="David"/>
          <w:rtl/>
        </w:rPr>
        <w:t>לא מצאתי לעשות צו להוצאות.</w:t>
      </w:r>
    </w:p>
    <w:p w:rsidR="00157540" w:rsidRDefault="00157540" w:rsidP="00157540">
      <w:pPr>
        <w:spacing w:line="360" w:lineRule="auto"/>
        <w:jc w:val="both"/>
        <w:rPr>
          <w:rFonts w:ascii="David" w:hAnsi="David"/>
          <w:rtl/>
        </w:rPr>
      </w:pPr>
    </w:p>
    <w:p w:rsidR="00157540" w:rsidRDefault="00157540" w:rsidP="00157540">
      <w:pPr>
        <w:rPr>
          <w:rFonts w:ascii="David" w:hAnsi="David"/>
          <w:rtl/>
        </w:rPr>
      </w:pPr>
      <w:r>
        <w:rPr>
          <w:rFonts w:ascii="David" w:hAnsi="David"/>
          <w:rtl/>
        </w:rPr>
        <w:t>המזכירות תיידע את הצדדים והמומחה גם יחד.</w:t>
      </w:r>
    </w:p>
    <w:p w:rsidR="00694556" w:rsidRPr="00B95D6E" w:rsidRDefault="00694556">
      <w:pPr>
        <w:spacing w:line="360" w:lineRule="auto"/>
        <w:jc w:val="both"/>
        <w:rPr>
          <w:rFonts w:ascii="Arial" w:hAnsi="Arial"/>
          <w:noProof w:val="0"/>
          <w:rtl/>
        </w:rPr>
      </w:pPr>
    </w:p>
    <w:p w:rsidR="00157540" w:rsidRDefault="00157540">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כ"ב חשוון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23 נובמבר 2024</w:t>
          </w:r>
        </w:sdtContent>
      </w:sdt>
      <w:r w:rsidR="00005C8B">
        <w:rPr>
          <w:rFonts w:ascii="Arial" w:hAnsi="Arial"/>
          <w:noProof w:val="0"/>
          <w:rtl/>
        </w:rPr>
        <w:t>, בהעדר הצדדים.</w:t>
      </w:r>
    </w:p>
    <w:p w:rsidR="00C43648" w:rsidRDefault="00926E80"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344405562"/>
        </w:sdtPr>
        <w:sdtEndPr/>
        <w:sdtContent>
          <w:r w:rsidR="00B85409">
            <w:drawing>
              <wp:inline distT="0" distB="0" distL="0" distR="0" wp14:editId="50D07946">
                <wp:extent cx="1422400" cy="914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422400" cy="9144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6E80" w:rsidRDefault="00926E80">
      <w:r>
        <w:separator/>
      </w:r>
    </w:p>
  </w:endnote>
  <w:endnote w:type="continuationSeparator" w:id="0">
    <w:p w:rsidR="00926E80" w:rsidRDefault="00926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3DB6" w:rsidRDefault="00453DB6">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E765F7" w:rsidRDefault="000C3B60">
    <w:pPr>
      <w:pStyle w:val="a4"/>
      <w:jc w:val="center"/>
      <w:rPr>
        <w:rStyle w:val="ab"/>
        <w:rFonts w:ascii="David" w:hAnsi="David"/>
      </w:rPr>
    </w:pPr>
    <w:r w:rsidRPr="00E765F7">
      <w:rPr>
        <w:rStyle w:val="ab"/>
        <w:rFonts w:ascii="David" w:hAnsi="David"/>
      </w:rPr>
      <w:fldChar w:fldCharType="begin"/>
    </w:r>
    <w:r w:rsidR="00005C8B" w:rsidRPr="00E765F7">
      <w:rPr>
        <w:rStyle w:val="ab"/>
        <w:rFonts w:ascii="David" w:hAnsi="David"/>
      </w:rPr>
      <w:instrText xml:space="preserve"> PAGE </w:instrText>
    </w:r>
    <w:r w:rsidRPr="00E765F7">
      <w:rPr>
        <w:rStyle w:val="ab"/>
        <w:rFonts w:ascii="David" w:hAnsi="David"/>
      </w:rPr>
      <w:fldChar w:fldCharType="separate"/>
    </w:r>
    <w:r w:rsidR="00392240">
      <w:rPr>
        <w:rStyle w:val="ab"/>
        <w:rFonts w:ascii="David" w:hAnsi="David"/>
        <w:rtl/>
      </w:rPr>
      <w:t>1</w:t>
    </w:r>
    <w:r w:rsidRPr="00E765F7">
      <w:rPr>
        <w:rStyle w:val="ab"/>
        <w:rFonts w:ascii="David" w:hAnsi="David"/>
      </w:rPr>
      <w:fldChar w:fldCharType="end"/>
    </w:r>
    <w:r w:rsidR="00005C8B" w:rsidRPr="00E765F7">
      <w:rPr>
        <w:rStyle w:val="ab"/>
        <w:rFonts w:ascii="David" w:hAnsi="David"/>
        <w:rtl/>
      </w:rPr>
      <w:t xml:space="preserve"> מתוך </w:t>
    </w:r>
    <w:r w:rsidRPr="00E765F7">
      <w:rPr>
        <w:rStyle w:val="ab"/>
        <w:rFonts w:ascii="David" w:hAnsi="David"/>
      </w:rPr>
      <w:fldChar w:fldCharType="begin"/>
    </w:r>
    <w:r w:rsidR="00005C8B" w:rsidRPr="00E765F7">
      <w:rPr>
        <w:rStyle w:val="ab"/>
        <w:rFonts w:ascii="David" w:hAnsi="David"/>
      </w:rPr>
      <w:instrText xml:space="preserve"> NUMPAGES </w:instrText>
    </w:r>
    <w:r w:rsidRPr="00E765F7">
      <w:rPr>
        <w:rStyle w:val="ab"/>
        <w:rFonts w:ascii="David" w:hAnsi="David"/>
      </w:rPr>
      <w:fldChar w:fldCharType="separate"/>
    </w:r>
    <w:r w:rsidR="00392240">
      <w:rPr>
        <w:rStyle w:val="ab"/>
        <w:rFonts w:ascii="David" w:hAnsi="David"/>
        <w:rtl/>
      </w:rPr>
      <w:t>6</w:t>
    </w:r>
    <w:r w:rsidRPr="00E765F7">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3DB6" w:rsidRDefault="00453DB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6E80" w:rsidRDefault="00926E80">
      <w:r>
        <w:separator/>
      </w:r>
    </w:p>
  </w:footnote>
  <w:footnote w:type="continuationSeparator" w:id="0">
    <w:p w:rsidR="00926E80" w:rsidRDefault="00926E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3DB6" w:rsidRDefault="00453DB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09"/>
      <w:gridCol w:w="3498"/>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ברמלה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926E80" w:rsidP="00CD516B">
          <w:pPr>
            <w:rPr>
              <w:b/>
              <w:bCs/>
              <w:noProof w:val="0"/>
              <w:sz w:val="26"/>
              <w:szCs w:val="26"/>
              <w:rtl/>
            </w:rPr>
          </w:pPr>
          <w:sdt>
            <w:sdtPr>
              <w:rPr>
                <w:rtl/>
              </w:rPr>
              <w:alias w:val="1170"/>
              <w:tag w:val="1170"/>
              <w:id w:val="1066377040"/>
              <w:text w:multiLine="1"/>
            </w:sdtPr>
            <w:sdtEndPr/>
            <w:sdtContent>
              <w:r w:rsidR="00E765F7">
                <w:rPr>
                  <w:b/>
                  <w:bCs/>
                  <w:noProof w:val="0"/>
                  <w:sz w:val="26"/>
                  <w:szCs w:val="26"/>
                  <w:rtl/>
                </w:rPr>
                <w:t>ת"א</w:t>
              </w:r>
            </w:sdtContent>
          </w:sdt>
          <w:r w:rsidR="00005C8B">
            <w:rPr>
              <w:b/>
              <w:bCs/>
              <w:noProof w:val="0"/>
              <w:sz w:val="26"/>
              <w:szCs w:val="26"/>
              <w:rtl/>
            </w:rPr>
            <w:t xml:space="preserve"> </w:t>
          </w:r>
          <w:sdt>
            <w:sdtPr>
              <w:rPr>
                <w:rtl/>
              </w:rPr>
              <w:alias w:val="1171"/>
              <w:tag w:val="1171"/>
              <w:id w:val="257034231"/>
              <w:text w:multiLine="1"/>
            </w:sdtPr>
            <w:sdtEndPr/>
            <w:sdtContent>
              <w:r w:rsidR="00E765F7">
                <w:rPr>
                  <w:b/>
                  <w:bCs/>
                  <w:noProof w:val="0"/>
                  <w:sz w:val="26"/>
                  <w:szCs w:val="26"/>
                  <w:rtl/>
                </w:rPr>
                <w:t>61955-11-21</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157540">
                <w:rPr>
                  <w:b/>
                  <w:bCs/>
                  <w:noProof w:val="0"/>
                  <w:sz w:val="26"/>
                  <w:szCs w:val="26"/>
                  <w:rtl/>
                </w:rPr>
                <w:t>פלוני</w:t>
              </w:r>
              <w:r w:rsidR="00157540">
                <w:rPr>
                  <w:rFonts w:hint="cs"/>
                  <w:b/>
                  <w:bCs/>
                  <w:noProof w:val="0"/>
                  <w:sz w:val="26"/>
                  <w:szCs w:val="26"/>
                  <w:rtl/>
                </w:rPr>
                <w:t xml:space="preserve">ת </w:t>
              </w:r>
              <w:r w:rsidR="00E765F7">
                <w:rPr>
                  <w:b/>
                  <w:bCs/>
                  <w:noProof w:val="0"/>
                  <w:sz w:val="26"/>
                  <w:szCs w:val="26"/>
                  <w:rtl/>
                </w:rPr>
                <w:t>נ' מדינת ישראל</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3DB6" w:rsidRDefault="00453DB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4E37E9"/>
    <w:multiLevelType w:val="hybridMultilevel"/>
    <w:tmpl w:val="1E4A7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82852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828528&amp;lt;/CaseID&amp;gt;_x000d__x000a_        &amp;lt;CaseMonth&amp;gt;11&amp;lt;/CaseMonth&amp;gt;_x000d__x000a_        &amp;lt;CaseYear&amp;gt;2021&amp;lt;/CaseYear&amp;gt;_x000d__x000a_        &amp;lt;CaseNumber&amp;gt;61955&amp;lt;/CaseNumber&amp;gt;_x000d__x000a_        &amp;lt;NumeratorGroupID&amp;gt;1&amp;lt;/NumeratorGroupID&amp;gt;_x000d__x000a_        &amp;lt;CaseName&amp;gt;מוסראתי נ&amp;#39; מדינת ישראל&amp;lt;/CaseName&amp;gt;_x000d__x000a_        &amp;lt;CourtID&amp;gt;36&amp;lt;/CourtID&amp;gt;_x000d__x000a_        &amp;lt;CaseTypeID&amp;gt;1&amp;lt;/CaseTypeID&amp;gt;_x000d__x000a_        &amp;lt;CaseInterestID&amp;gt;10445&amp;lt;/CaseInterestID&amp;gt;_x000d__x000a_        &amp;lt;CaseJudgeName&amp;gt;אייל כהן&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61955-11-21&amp;lt;/CaseDisplayIdentifier&amp;gt;_x000d__x000a_        &amp;lt;CaseTypeDesc&amp;gt;ת&amp;quot;א&amp;lt;/CaseTypeDesc&amp;gt;_x000d__x000a_        &amp;lt;CourtDesc&amp;gt;שלום רמלה&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11-21T13:00:00+02:00&amp;lt;/CasePreviousSessionDate&amp;gt;_x000d__x000a_        &amp;lt;CaseNextSessionDate&amp;gt;2024-12-24T09:00:00+02:00&amp;lt;/CaseNextSessionDate&amp;gt;_x000d__x000a_        &amp;lt;CaseNextDeterminingTask&amp;gt;142&amp;lt;/CaseNextDeterminingTask&amp;gt;_x000d__x000a_        &amp;lt;TemporaryAidStatus /&amp;gt;_x000d__x000a_        &amp;lt;CaseOpenDate&amp;gt;2021-11-25T13:36:00+02:00&amp;lt;/CaseOpenDate&amp;gt;_x000d__x000a_        &amp;lt;PleaTypeID&amp;gt;4&amp;lt;/PleaTypeID&amp;gt;_x000d__x000a_        &amp;lt;CourtLevelID&amp;gt;1&amp;lt;/CourtLevelID&amp;gt;_x000d__x000a_        &amp;lt;CourtLevelCaseTypeInterestID&amp;gt;1542&amp;lt;/CourtLevelCaseTypeInterestID&amp;gt;_x000d__x000a_        &amp;lt;CaseJudgeFirstName&amp;gt;אייל&amp;lt;/CaseJudgeFirstName&amp;gt;_x000d__x000a_        &amp;lt;CaseJudgeLastName&amp;gt;כהן&amp;lt;/CaseJudgeLastName&amp;gt;_x000d__x000a_        &amp;lt;JudicalPersonID&amp;gt;023699622@GOV.IL&amp;lt;/JudicalPersonID&amp;gt;_x000d__x000a_        &amp;lt;IsJudicalPanel&amp;gt;false&amp;lt;/IsJudicalPanel&amp;gt;_x000d__x000a_        &amp;lt;CourtDisplayName&amp;gt;בית משפט השלום ברמלה&amp;lt;/CourtDisplayName&amp;gt;_x000d__x000a_        &amp;lt;IsAllStartDataCollected&amp;gt;true&amp;lt;/IsAllStartDataCollected&amp;gt;_x000d__x000a_        &amp;lt;CaseDesc /&amp;gt;_x000d__x000a_        &amp;lt;isExistMinorSide&amp;gt;false&amp;lt;/isExistMinorSide&amp;gt;_x000d__x000a_        &amp;lt;isExistMinorWitness&amp;gt;false&amp;lt;/isExistMinorWitness&amp;gt;_x000d__x000a_        &amp;lt;CaseNextSessionTypeID&amp;gt;2&amp;lt;/CaseNextSessionTypeID&amp;gt;_x000d__x000a_        &amp;lt;CasePreviousSessionTypeID&amp;gt;1&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828528&amp;lt;/CaseID&amp;gt;_x000d__x000a_        &amp;lt;CaseMonth&amp;gt;11&amp;lt;/CaseMonth&amp;gt;_x000d__x000a_        &amp;lt;CaseYear&amp;gt;2021&amp;lt;/CaseYear&amp;gt;_x000d__x000a_        &amp;lt;CaseNumber&amp;gt;61955&amp;lt;/CaseNumber&amp;gt;_x000d__x000a_        &amp;lt;NumeratorGroupID&amp;gt;1&amp;lt;/NumeratorGroupID&amp;gt;_x000d__x000a_        &amp;lt;CaseName&amp;gt;מוסראתי נ&amp;#39; מדינת ישראל&amp;lt;/CaseName&amp;gt;_x000d__x000a_        &amp;lt;CourtID&amp;gt;36&amp;lt;/CourtID&amp;gt;_x000d__x000a_        &amp;lt;CaseTypeID&amp;gt;1&amp;lt;/CaseTypeID&amp;gt;_x000d__x000a_        &amp;lt;CaseInterestID&amp;gt;10445&amp;lt;/CaseInterestID&amp;gt;_x000d__x000a_        &amp;lt;CaseJudgeName&amp;gt;אייל כהן&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61955-11-21&amp;lt;/CaseDisplayIdentifier&amp;gt;_x000d__x000a_        &amp;lt;CaseTypeDesc&amp;gt;ת&amp;quot;א&amp;lt;/CaseTypeDesc&amp;gt;_x000d__x000a_        &amp;lt;CourtDesc&amp;gt;שלום רמלה&amp;lt;/CourtDesc&amp;gt;_x000d__x000a_        &amp;lt;CaseStageDesc&amp;gt;תיק אלקטרוני&amp;lt;/CaseStageDesc&amp;gt;_x000d__x000a_        &amp;lt;CaseNextDeterminingTask&amp;gt;142&amp;lt;/CaseNextDeterminingTask&amp;gt;_x000d__x000a_        &amp;lt;CaseOpenDate&amp;gt;2021-11-25T13:36:00+02:00&amp;lt;/CaseOpenDate&amp;gt;_x000d__x000a_        &amp;lt;PleaTypeID&amp;gt;4&amp;lt;/PleaTypeID&amp;gt;_x000d__x000a_        &amp;lt;CourtLevelID&amp;gt;1&amp;lt;/CourtLevelID&amp;gt;_x000d__x000a_        &amp;lt;CourtLevelCaseTypeInterestID&amp;gt;1542&amp;lt;/CourtLevelCaseTypeInterestID&amp;gt;_x000d__x000a_        &amp;lt;CaseJudgeFirstName&amp;gt;אייל&amp;lt;/CaseJudgeFirstName&amp;gt;_x000d__x000a_        &amp;lt;CaseJudgeLastName&amp;gt;כהן&amp;lt;/CaseJudgeLastName&amp;gt;_x000d__x000a_        &amp;lt;JudicalPersonID&amp;gt;023699622@GOV.IL&amp;lt;/JudicalPersonID&amp;gt;_x000d__x000a_        &amp;lt;IsJudicalPanel&amp;gt;false&amp;lt;/IsJudicalPanel&amp;gt;_x000d__x000a_        &amp;lt;CourtDisplayName&amp;gt;בית משפט השלום ברמלה&amp;lt;/CourtDisplayName&amp;gt;_x000d__x000a_        &amp;lt;IsAllStartDataCollected&amp;gt;true&amp;lt;/IsAllStartDataCollected&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11-23T23:03:32.1754138+02:00&amp;lt;/DecisionStatusChangeDate&amp;gt;_x000d__x000a_        &amp;lt;DecisionSignatureDate&amp;gt;2024-11-23T23:03:32.1754138+02:00&amp;lt;/DecisionSignatureDate&amp;gt;_x000d__x000a_        &amp;lt;DecisionSignatureUserID&amp;gt;023699622@GOV.IL&amp;lt;/DecisionSignatureUserID&amp;gt;_x000d__x000a_        &amp;lt;DecisionCreateDate&amp;gt;2024-11-23T23:03:32.1754138+02:00&amp;lt;/DecisionCreateDate&amp;gt;_x000d__x000a_        &amp;lt;DecisionChangeDate&amp;gt;2024-11-23T23:03:32.1754138+02:00&amp;lt;/DecisionChangeDate&amp;gt;_x000d__x000a_        &amp;lt;DecisionChangeUserID&amp;gt;02369962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369962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3699622@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8&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8828528&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445"/>
    <w:docVar w:name="NGCS.TemplateCaseTypeID" w:val="1"/>
    <w:docVar w:name="NGCS.TemplateCategoryID" w:val="80"/>
    <w:docVar w:name="NGCS.TemplateCourtID" w:val="36"/>
    <w:docVar w:name="NGCS.TemplateProceedingID" w:val="1"/>
    <w:docVar w:name="SelectedDocumentID" w:val="461401829"/>
    <w:docVar w:name="WordClientAssemblyName" w:val="NGCS.Decision.ClientWordBL"/>
    <w:docVar w:name="WordClientClassName" w:val="NGCS.Decision.ClientWordBL.DecisionClient"/>
  </w:docVars>
  <w:rsids>
    <w:rsidRoot w:val="00694556"/>
    <w:rsid w:val="00000062"/>
    <w:rsid w:val="0000226B"/>
    <w:rsid w:val="00005C8B"/>
    <w:rsid w:val="00007DE0"/>
    <w:rsid w:val="000346CC"/>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57540"/>
    <w:rsid w:val="00180519"/>
    <w:rsid w:val="00191C82"/>
    <w:rsid w:val="001C4003"/>
    <w:rsid w:val="001D4DBF"/>
    <w:rsid w:val="001E75CA"/>
    <w:rsid w:val="002265FF"/>
    <w:rsid w:val="00235B97"/>
    <w:rsid w:val="00271B56"/>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92240"/>
    <w:rsid w:val="003A4521"/>
    <w:rsid w:val="003B3E8D"/>
    <w:rsid w:val="003D1C8C"/>
    <w:rsid w:val="0040096C"/>
    <w:rsid w:val="00414F1F"/>
    <w:rsid w:val="0043125D"/>
    <w:rsid w:val="0043502B"/>
    <w:rsid w:val="004443AC"/>
    <w:rsid w:val="00444B02"/>
    <w:rsid w:val="00451E28"/>
    <w:rsid w:val="00453DB6"/>
    <w:rsid w:val="004549C7"/>
    <w:rsid w:val="00462C62"/>
    <w:rsid w:val="00465D36"/>
    <w:rsid w:val="004C17EE"/>
    <w:rsid w:val="004C4BDF"/>
    <w:rsid w:val="004D1187"/>
    <w:rsid w:val="004D3AA0"/>
    <w:rsid w:val="004E1987"/>
    <w:rsid w:val="004E2E15"/>
    <w:rsid w:val="004E6E3C"/>
    <w:rsid w:val="004F2704"/>
    <w:rsid w:val="00511B90"/>
    <w:rsid w:val="00520898"/>
    <w:rsid w:val="00523621"/>
    <w:rsid w:val="00524986"/>
    <w:rsid w:val="005268F6"/>
    <w:rsid w:val="00534284"/>
    <w:rsid w:val="00547DB7"/>
    <w:rsid w:val="005C0627"/>
    <w:rsid w:val="005F4F09"/>
    <w:rsid w:val="0061431B"/>
    <w:rsid w:val="00622BAA"/>
    <w:rsid w:val="006306CF"/>
    <w:rsid w:val="006318D8"/>
    <w:rsid w:val="00644E9A"/>
    <w:rsid w:val="00671BD5"/>
    <w:rsid w:val="006805C1"/>
    <w:rsid w:val="00686C21"/>
    <w:rsid w:val="006931C1"/>
    <w:rsid w:val="00694556"/>
    <w:rsid w:val="006B7258"/>
    <w:rsid w:val="006C30C5"/>
    <w:rsid w:val="006D3B31"/>
    <w:rsid w:val="006E0D96"/>
    <w:rsid w:val="006E1A53"/>
    <w:rsid w:val="006F56E6"/>
    <w:rsid w:val="00704EDA"/>
    <w:rsid w:val="00721122"/>
    <w:rsid w:val="00734689"/>
    <w:rsid w:val="00753019"/>
    <w:rsid w:val="00754801"/>
    <w:rsid w:val="00761441"/>
    <w:rsid w:val="00795365"/>
    <w:rsid w:val="007A351D"/>
    <w:rsid w:val="007B7765"/>
    <w:rsid w:val="007C5BDD"/>
    <w:rsid w:val="007D45E3"/>
    <w:rsid w:val="007E6115"/>
    <w:rsid w:val="007F4609"/>
    <w:rsid w:val="00814468"/>
    <w:rsid w:val="008176A1"/>
    <w:rsid w:val="00820005"/>
    <w:rsid w:val="00841158"/>
    <w:rsid w:val="00844318"/>
    <w:rsid w:val="00851257"/>
    <w:rsid w:val="00863F5D"/>
    <w:rsid w:val="00870890"/>
    <w:rsid w:val="00873602"/>
    <w:rsid w:val="00875D12"/>
    <w:rsid w:val="0088479D"/>
    <w:rsid w:val="00891F42"/>
    <w:rsid w:val="00896889"/>
    <w:rsid w:val="008A59EE"/>
    <w:rsid w:val="008A6E97"/>
    <w:rsid w:val="008C5714"/>
    <w:rsid w:val="008D10B2"/>
    <w:rsid w:val="00903896"/>
    <w:rsid w:val="00906F3D"/>
    <w:rsid w:val="00926E80"/>
    <w:rsid w:val="0094424E"/>
    <w:rsid w:val="00955642"/>
    <w:rsid w:val="009622DF"/>
    <w:rsid w:val="0096493F"/>
    <w:rsid w:val="00967DFF"/>
    <w:rsid w:val="009777CA"/>
    <w:rsid w:val="00994341"/>
    <w:rsid w:val="009D1A48"/>
    <w:rsid w:val="009E1CE7"/>
    <w:rsid w:val="009E4EA5"/>
    <w:rsid w:val="009F164B"/>
    <w:rsid w:val="009F323C"/>
    <w:rsid w:val="00A3392B"/>
    <w:rsid w:val="00A81988"/>
    <w:rsid w:val="00A85E34"/>
    <w:rsid w:val="00A87DF6"/>
    <w:rsid w:val="00A9144F"/>
    <w:rsid w:val="00A94B64"/>
    <w:rsid w:val="00AA3229"/>
    <w:rsid w:val="00AA7596"/>
    <w:rsid w:val="00AB5E52"/>
    <w:rsid w:val="00AC3B02"/>
    <w:rsid w:val="00AC3B7B"/>
    <w:rsid w:val="00AC5209"/>
    <w:rsid w:val="00AC5857"/>
    <w:rsid w:val="00AE0E34"/>
    <w:rsid w:val="00AE729E"/>
    <w:rsid w:val="00AE7752"/>
    <w:rsid w:val="00AF7FDA"/>
    <w:rsid w:val="00B446CD"/>
    <w:rsid w:val="00B5356E"/>
    <w:rsid w:val="00B62AD7"/>
    <w:rsid w:val="00B66717"/>
    <w:rsid w:val="00B809AD"/>
    <w:rsid w:val="00B80CBD"/>
    <w:rsid w:val="00B85409"/>
    <w:rsid w:val="00B86096"/>
    <w:rsid w:val="00B95D6E"/>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313D"/>
    <w:rsid w:val="00CC7622"/>
    <w:rsid w:val="00CD516B"/>
    <w:rsid w:val="00CD608F"/>
    <w:rsid w:val="00CE0084"/>
    <w:rsid w:val="00CF6BB7"/>
    <w:rsid w:val="00D04AA4"/>
    <w:rsid w:val="00D27982"/>
    <w:rsid w:val="00D33B86"/>
    <w:rsid w:val="00D44968"/>
    <w:rsid w:val="00D53924"/>
    <w:rsid w:val="00D55D0C"/>
    <w:rsid w:val="00D96D8C"/>
    <w:rsid w:val="00DA6649"/>
    <w:rsid w:val="00DC1259"/>
    <w:rsid w:val="00DC1BD2"/>
    <w:rsid w:val="00DC2571"/>
    <w:rsid w:val="00DC487C"/>
    <w:rsid w:val="00DD4335"/>
    <w:rsid w:val="00DE1E7D"/>
    <w:rsid w:val="00DE6BF6"/>
    <w:rsid w:val="00E1068A"/>
    <w:rsid w:val="00E25884"/>
    <w:rsid w:val="00E25B55"/>
    <w:rsid w:val="00E31C2B"/>
    <w:rsid w:val="00E5426A"/>
    <w:rsid w:val="00E542F3"/>
    <w:rsid w:val="00E54642"/>
    <w:rsid w:val="00E765F7"/>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157540"/>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02658">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A74356" w:rsidP="00A74356">
          <w:pPr>
            <w:pStyle w:val="E460D38E05664FF79D4EFF282EF8EC9931"/>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A74356" w:rsidP="00A74356">
          <w:pPr>
            <w:pStyle w:val="D290653DA13E4E738B7E725F79D7332924"/>
          </w:pPr>
          <w:r>
            <w:rPr>
              <w:rFonts w:hint="eastAsia"/>
              <w:sz w:val="20"/>
              <w:szCs w:val="20"/>
              <w:rtl/>
            </w:rPr>
            <w:t>מספר</w:t>
          </w:r>
          <w:r>
            <w:rPr>
              <w:sz w:val="20"/>
              <w:szCs w:val="20"/>
              <w:rtl/>
            </w:rPr>
            <w:t xml:space="preserve"> תיק חיצוני</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A74356" w:rsidP="00A74356">
          <w:pPr>
            <w:pStyle w:val="4672CCA166BA4F0A892EB1D7BA0002CB6"/>
          </w:pPr>
          <w:r>
            <w:rPr>
              <w:b/>
              <w:bCs/>
              <w:noProof w:val="0"/>
              <w:sz w:val="26"/>
              <w:szCs w:val="26"/>
              <w:rtl/>
            </w:rPr>
            <w:t>שם תיק ללא שמות חסויים</w:t>
          </w:r>
        </w:p>
      </w:docPartBody>
    </w:docPart>
    <w:docPart>
      <w:docPartPr>
        <w:name w:val="1C8A38705F7143EA87FF3DEB2C34E7E5"/>
        <w:category>
          <w:name w:val="כללי"/>
          <w:gallery w:val="placeholder"/>
        </w:category>
        <w:types>
          <w:type w:val="bbPlcHdr"/>
        </w:types>
        <w:behaviors>
          <w:behavior w:val="content"/>
        </w:behaviors>
        <w:guid w:val="{1E86C3EA-2CF6-44FF-B9FB-927839DC8693}"/>
      </w:docPartPr>
      <w:docPartBody>
        <w:p w:rsidR="00015B33" w:rsidRDefault="00A74356" w:rsidP="00A74356">
          <w:pPr>
            <w:pStyle w:val="1C8A38705F7143EA87FF3DEB2C34E7E56"/>
          </w:pPr>
          <w:r w:rsidRPr="00CD516B">
            <w:rPr>
              <w:rFonts w:ascii="Arial" w:hAnsi="Arial"/>
              <w:b/>
              <w:bCs/>
              <w:noProof w:val="0"/>
              <w:sz w:val="26"/>
              <w:szCs w:val="26"/>
              <w:rtl/>
            </w:rPr>
            <w:t>שם צד א' ללא שם של חסוי</w:t>
          </w:r>
        </w:p>
      </w:docPartBody>
    </w:docPart>
    <w:docPart>
      <w:docPartPr>
        <w:name w:val="4DC45A2FD697422FAA3CD896A84FA7B4"/>
        <w:category>
          <w:name w:val="כללי"/>
          <w:gallery w:val="placeholder"/>
        </w:category>
        <w:types>
          <w:type w:val="bbPlcHdr"/>
        </w:types>
        <w:behaviors>
          <w:behavior w:val="content"/>
        </w:behaviors>
        <w:guid w:val="{F44DEA08-0FB8-4CA3-B947-527E15190D19}"/>
      </w:docPartPr>
      <w:docPartBody>
        <w:p w:rsidR="00015B33" w:rsidRDefault="00A74356" w:rsidP="00A74356">
          <w:pPr>
            <w:pStyle w:val="4DC45A2FD697422FAA3CD896A84FA7B46"/>
          </w:pPr>
          <w:r w:rsidRPr="00CD516B">
            <w:rPr>
              <w:rFonts w:ascii="Arial" w:hAnsi="Arial"/>
              <w:b/>
              <w:bCs/>
              <w:noProof w:val="0"/>
              <w:sz w:val="26"/>
              <w:szCs w:val="26"/>
              <w:rtl/>
            </w:rPr>
            <w:t>שם צד ב' ללא שם של חסוי</w:t>
          </w:r>
        </w:p>
      </w:docPartBody>
    </w:docPart>
    <w:docPart>
      <w:docPartPr>
        <w:name w:val="610C6E051A88448494B3C30FBAD74773"/>
        <w:category>
          <w:name w:val="כללי"/>
          <w:gallery w:val="placeholder"/>
        </w:category>
        <w:types>
          <w:type w:val="bbPlcHdr"/>
        </w:types>
        <w:behaviors>
          <w:behavior w:val="content"/>
        </w:behaviors>
        <w:guid w:val="{32729ED7-1D63-4C4A-930C-D34E871FB7B5}"/>
      </w:docPartPr>
      <w:docPartBody>
        <w:p w:rsidR="00D6580E" w:rsidRDefault="00A74356" w:rsidP="00A74356">
          <w:pPr>
            <w:pStyle w:val="610C6E051A88448494B3C30FBAD747735"/>
          </w:pPr>
          <w:r w:rsidRPr="00B62AD7">
            <w:rPr>
              <w:rFonts w:ascii="David" w:eastAsia="David" w:hAnsi="David"/>
              <w:b/>
              <w:bCs/>
              <w:rtl/>
            </w:rPr>
            <w:t>מעמד.כינוי צד ג'</w:t>
          </w:r>
        </w:p>
      </w:docPartBody>
    </w:docPart>
    <w:docPart>
      <w:docPartPr>
        <w:name w:val="E94836ADA6264C72A55F651E19C4C7A6"/>
        <w:category>
          <w:name w:val="כללי"/>
          <w:gallery w:val="placeholder"/>
        </w:category>
        <w:types>
          <w:type w:val="bbPlcHdr"/>
        </w:types>
        <w:behaviors>
          <w:behavior w:val="content"/>
        </w:behaviors>
        <w:guid w:val="{A0E10C2F-5C5A-45D6-A5C8-AC7BEA29373A}"/>
      </w:docPartPr>
      <w:docPartBody>
        <w:p w:rsidR="00D6580E" w:rsidRDefault="00A74356" w:rsidP="00A74356">
          <w:pPr>
            <w:pStyle w:val="E94836ADA6264C72A55F651E19C4C7A65"/>
          </w:pPr>
          <w:r w:rsidRPr="00B62AD7">
            <w:rPr>
              <w:b/>
              <w:bCs/>
              <w:sz w:val="26"/>
              <w:szCs w:val="26"/>
              <w:rtl/>
            </w:rPr>
            <w:t xml:space="preserve">שם צד ג' ללא </w:t>
          </w:r>
          <w:r>
            <w:rPr>
              <w:b/>
              <w:bCs/>
              <w:sz w:val="26"/>
              <w:szCs w:val="26"/>
              <w:rtl/>
            </w:rPr>
            <w:t xml:space="preserve"> </w:t>
          </w:r>
          <w:r w:rsidRPr="00B62AD7">
            <w:rPr>
              <w:b/>
              <w:bCs/>
              <w:sz w:val="26"/>
              <w:szCs w:val="26"/>
              <w:rtl/>
            </w:rPr>
            <w:t>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2D09CE"/>
    <w:rsid w:val="00345C9D"/>
    <w:rsid w:val="0048651F"/>
    <w:rsid w:val="004B017A"/>
    <w:rsid w:val="005157ED"/>
    <w:rsid w:val="00556D67"/>
    <w:rsid w:val="00673B50"/>
    <w:rsid w:val="00793995"/>
    <w:rsid w:val="007C6F98"/>
    <w:rsid w:val="007E254A"/>
    <w:rsid w:val="008B4366"/>
    <w:rsid w:val="009133C7"/>
    <w:rsid w:val="009178E4"/>
    <w:rsid w:val="00961B27"/>
    <w:rsid w:val="009A36E7"/>
    <w:rsid w:val="00A74356"/>
    <w:rsid w:val="00AA124C"/>
    <w:rsid w:val="00AA7CE3"/>
    <w:rsid w:val="00B50DB2"/>
    <w:rsid w:val="00B72BC2"/>
    <w:rsid w:val="00B91FA3"/>
    <w:rsid w:val="00BD69D1"/>
    <w:rsid w:val="00BE6557"/>
    <w:rsid w:val="00C96C06"/>
    <w:rsid w:val="00D24521"/>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7435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1C8A38705F7143EA87FF3DEB2C34E7E56">
    <w:name w:val="1C8A38705F7143EA87FF3DEB2C34E7E56"/>
    <w:rsid w:val="00A74356"/>
    <w:pPr>
      <w:bidi/>
      <w:spacing w:after="0" w:line="240" w:lineRule="auto"/>
    </w:pPr>
    <w:rPr>
      <w:rFonts w:ascii="Times New Roman" w:eastAsia="Times New Roman" w:hAnsi="Times New Roman" w:cs="David"/>
      <w:noProof/>
      <w:sz w:val="24"/>
      <w:szCs w:val="24"/>
    </w:rPr>
  </w:style>
  <w:style w:type="paragraph" w:customStyle="1" w:styleId="4DC45A2FD697422FAA3CD896A84FA7B46">
    <w:name w:val="4DC45A2FD697422FAA3CD896A84FA7B46"/>
    <w:rsid w:val="00A74356"/>
    <w:pPr>
      <w:bidi/>
      <w:spacing w:after="0" w:line="240" w:lineRule="auto"/>
    </w:pPr>
    <w:rPr>
      <w:rFonts w:ascii="Times New Roman" w:eastAsia="Times New Roman" w:hAnsi="Times New Roman" w:cs="David"/>
      <w:noProof/>
      <w:sz w:val="24"/>
      <w:szCs w:val="24"/>
    </w:rPr>
  </w:style>
  <w:style w:type="paragraph" w:customStyle="1" w:styleId="610C6E051A88448494B3C30FBAD747735">
    <w:name w:val="610C6E051A88448494B3C30FBAD747735"/>
    <w:rsid w:val="00A74356"/>
    <w:pPr>
      <w:bidi/>
      <w:spacing w:after="0" w:line="240" w:lineRule="auto"/>
    </w:pPr>
    <w:rPr>
      <w:rFonts w:ascii="Times New Roman" w:eastAsia="Times New Roman" w:hAnsi="Times New Roman" w:cs="David"/>
      <w:noProof/>
      <w:sz w:val="24"/>
      <w:szCs w:val="24"/>
    </w:rPr>
  </w:style>
  <w:style w:type="paragraph" w:customStyle="1" w:styleId="E94836ADA6264C72A55F651E19C4C7A65">
    <w:name w:val="E94836ADA6264C72A55F651E19C4C7A65"/>
    <w:rsid w:val="00A74356"/>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A74356"/>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A74356"/>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A74356"/>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A74356"/>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A74356"/>
    <w:pPr>
      <w:bidi/>
      <w:spacing w:after="0" w:line="240" w:lineRule="auto"/>
    </w:pPr>
    <w:rPr>
      <w:rFonts w:ascii="Times New Roman" w:eastAsia="Times New Roman" w:hAnsi="Times New Roman" w:cs="David"/>
      <w:noProof/>
      <w:sz w:val="24"/>
      <w:szCs w:val="24"/>
    </w:rPr>
  </w:style>
  <w:style w:type="paragraph" w:customStyle="1" w:styleId="4672CCA166BA4F0A892EB1D7BA0002CB6">
    <w:name w:val="4672CCA166BA4F0A892EB1D7BA0002CB6"/>
    <w:rsid w:val="00A74356"/>
    <w:pPr>
      <w:bidi/>
      <w:spacing w:after="0" w:line="240" w:lineRule="auto"/>
    </w:pPr>
    <w:rPr>
      <w:rFonts w:ascii="Times New Roman" w:eastAsia="Times New Roman" w:hAnsi="Times New Roman" w:cs="David"/>
      <w:noProof/>
      <w:sz w:val="24"/>
      <w:szCs w:val="24"/>
    </w:rPr>
  </w:style>
  <w:style w:type="paragraph" w:customStyle="1" w:styleId="D290653DA13E4E738B7E725F79D7332924">
    <w:name w:val="D290653DA13E4E738B7E725F79D7332924"/>
    <w:rsid w:val="00A7435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78828528</CaseID>
    <CaseJudicialPersonPresentationDS>
      <CaseJudicalPersonActive>
        <CaseID>78828528</CaseID>
        <JudicialPersonID>023699622@GOV.IL</JudicialPersonID>
        <JudicialPersonTypeID>1</JudicialPersonTypeID>
        <JudicialTypeID>1</JudicialTypeID>
        <IsChairman>false</IsChairman>
        <TreatmentStartDate>2022-10-30T12:06:56.6+02:00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אלכסנדר בלנקשטיין</FullName>
        <FirstName>אלכסנדר</FirstName>
        <LastName>בלנקשטיין</LastName>
        <PartyPropertyName/>
        <AuthenticationTypeAndNumber>ת"ז 006428643</AuthenticationTypeAndNumber>
        <RepresentatedOrRepresentativesNames/>
        <RepresentatedOrRepresentativesCount>0</RepresentatedOrRepresentativesCount>
        <InvitedBy/>
        <CaseID>78828528</CaseID>
        <CaseJudicialPersonPresentationDS>
          <CaseJudicalPersonActive>
            <CaseID>78828528</CaseID>
            <JudicialPersonID>023699622@GOV.IL</JudicialPersonID>
            <JudicialPersonTypeID>1</JudicialPersonTypeID>
            <JudicialTypeID>1</JudicialTypeID>
            <IsChairman>false</IsChairman>
            <TreatmentStartDate>2022-10-30T12:06:56.6+02:00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270523661</CasePartyID>
        <PartyTypeID>5</PartyTypeID>
        <ActivityStatusID>1</ActivityStatusID>
        <PartyAliasID>102</PartyAliasID>
        <PartyAliasName>מומחה בית משפט</PartyAliasName>
        <LegalEntityID>2346632</LegalEntityID>
        <CaseLegalEntityID>128988718</CaseLegalEntityID>
        <AuthenticationTypeID>1</AuthenticationTypeID>
        <AuthenticationTypeName>ת"ז</AuthenticationTypeName>
        <LegalEntityNumber>006428643</LegalEntityNumber>
        <IsMainPartyType>true</IsMainPartyType>
        <CaseDisplayIdentifier>61955-11-21</CaseDisplayIdentifier>
        <CaseTypeID>1</CaseTypeID>
        <CaseTypeName>תיק אזרחי בסדר דין רגיל (ת"א)</CaseTypeName>
        <CaseName>מוסראתי נ' מדינת ישראל</CaseName>
        <FullAddress>קהילת בבל16 רמת השרון </FullAddress>
        <EmailAddress>kuchelblankmiri@hotmail.com</EmailAddress>
        <MotionID>0</MotionID>
        <CasePleaID>0</CasePleaID>
        <FatherName xml:space="preserve">        </FatherName>
        <LinkedCaseID>0</LinkedCaseID>
        <CasePartyCategoryID>1</CasePartyCategoryID>
        <LegalEntityAddressID>70881681</LegalEntityAddressID>
        <LegalEntityEmailAddressID>67885777</LegalEntityEmailAddressID>
        <PleaTypeID>4</PleaTypeID>
        <GroupPartyAlias/>
        <IsConverted>false</IsConverted>
        <LegalEntityNameID>72537217</LegalEntityNameID>
        <RepresentatedNamesOfAssistant/>
        <LegalEntityTypeID>6</LegalEntityTypeID>
        <IsVerdictExists>false</IsVerdictExists>
        <IsAsirAzir>false</IsAsirAzir>
        <MainAndSecSpec/>
        <IsPublicationProhibited>false</IsPublicationProhibited>
        <PublicationProhibitedFullName>אלכסנדר בלנקשטיין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שאול איבצן</FullName>
        <FirstName>שאול</FirstName>
        <LastName>איבצן</LastName>
        <PartyPropertyName/>
        <AuthenticationTypeAndNumber>מ.ר. 16596</AuthenticationTypeAndNumber>
        <RepresentatedOrRepresentativesNames xml:space="preserve"> </RepresentatedOrRepresentativesNames>
        <RepresentatedOrRepresentativesCount>1</RepresentatedOrRepresentativesCount>
        <InvitedBy/>
        <CaseID>78828528</CaseID>
        <CaseJudicialPersonPresentationDS>
          <CaseJudicalPersonActive>
            <CaseID>78828528</CaseID>
            <JudicialPersonID>023699622@GOV.IL</JudicialPersonID>
            <JudicialPersonTypeID>1</JudicialPersonTypeID>
            <JudicialTypeID>1</JudicialTypeID>
            <IsChairman>false</IsChairman>
            <TreatmentStartDate>2022-10-30T12:06:56.6+02:00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240770556</CasePartyID>
        <PartyTypeID>2</PartyTypeID>
        <ActivityStatusID>1</ActivityStatusID>
        <PartyAliasID>21</PartyAliasID>
        <PartyAliasName>בא כוח נתבעים</PartyAliasName>
        <LegalEntityID>382965</LegalEntityID>
        <CaseLegalEntityID>119691064</CaseLegalEntityID>
        <AuthenticationTypeID>4</AuthenticationTypeID>
        <AuthenticationTypeName>מ.ר.</AuthenticationTypeName>
        <LegalEntityNumber>16596</LegalEntityNumber>
        <IsMainPartyType>true</IsMainPartyType>
        <CaseDisplayIdentifier>61955-11-21</CaseDisplayIdentifier>
        <CaseTypeID>1</CaseTypeID>
        <CaseTypeName>תיק אזרחי בסדר דין רגיל (ת"א)</CaseTypeName>
        <CaseName>מוסראתי נ' מדינת ישראל</CaseName>
        <FullAddress>קרן היסוד 38 ירושלים </FullAddress>
        <EmailAddress>office@bivlaw.co.il</EmailAddress>
        <MotionID>0</MotionID>
        <CasePleaID>0</CasePleaID>
        <LinkedCaseID>0</LinkedCaseID>
        <PartyID>2</PartyID>
        <CasePartyCategoryID>2</CasePartyCategoryID>
        <LegalEntityAddressID>70688861</LegalEntityAddressID>
        <LegalEntityEmailAddressID>68001626</LegalEntityEmailAddressID>
        <PleaTypeID>4</PleaTypeID>
        <LawyerOfficeName>משרד עו"ד:ביניש-איבצן</LawyerOfficeName>
        <LawyerOfficeID>423609</LawyerOfficeID>
        <GroupPartyAlias/>
        <IsConverted>false</IsConverted>
        <LegalEntityNameID>3949</LegalEntityNameID>
        <RepresentatedNamesOfAssistant/>
        <LegalEntityTypeID>4</LegalEntityTypeID>
        <IsVerdictExists>false</IsVerdictExists>
        <IsAsirAzir>false</IsAsirAzir>
        <MainAndSecSpec/>
        <IsPublicationProhibited>false</IsPublicationProhibited>
        <PublicationProhibitedFullName>שאול איבצן</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פרופ' משה קוטלר</FullName>
        <FirstName>פרופ' משה</FirstName>
        <LastName>קוטלר</LastName>
        <PartyPropertyName/>
        <AuthenticationTypeAndNumber>ת"ז </AuthenticationTypeAndNumber>
        <RepresentatedOrRepresentativesNames/>
        <RepresentatedOrRepresentativesCount>0</RepresentatedOrRepresentativesCount>
        <InvitedBy/>
        <CaseID>78828528</CaseID>
        <CaseJudicialPersonPresentationDS>
          <CaseJudicalPersonActive>
            <CaseID>78828528</CaseID>
            <JudicialPersonID>023699622@GOV.IL</JudicialPersonID>
            <JudicialPersonTypeID>1</JudicialPersonTypeID>
            <JudicialTypeID>1</JudicialTypeID>
            <IsChairman>false</IsChairman>
            <TreatmentStartDate>2022-10-30T12:06:56.6+02:00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270060420</CasePartyID>
        <PartyTypeID>4</PartyTypeID>
        <ActivityStatusID>1</ActivityStatusID>
        <PartyAliasID>101</PartyAliasID>
        <PartyAliasName>עד בית משפט</PartyAliasName>
        <LegalEntityID>81897959</LegalEntityID>
        <CaseLegalEntityID>128849770</CaseLegalEntityID>
        <AuthenticationTypeID>1</AuthenticationTypeID>
        <AuthenticationTypeName>ת"ז</AuthenticationTypeName>
        <IsMainPartyType>true</IsMainPartyType>
        <CaseDisplayIdentifier>61955-11-21</CaseDisplayIdentifier>
        <CaseTypeID>1</CaseTypeID>
        <CaseTypeName>תיק אזרחי בסדר דין רגיל (ת"א)</CaseTypeName>
        <CaseName>מוסראתי נ' מדינת ישראל</CaseName>
        <FullAddress>במסירה אישית</FullAddress>
        <MotionID>0</MotionID>
        <CasePleaID>0</CasePleaID>
        <LinkedCaseID>0</LinkedCaseID>
        <PartyID>2</PartyID>
        <CasePartyCategoryID>2</CasePartyCategoryID>
        <LegalEntityAddressID>89292432</LegalEntityAddressID>
        <PleaTypeID>4</PleaTypeID>
        <GroupPartyAlias/>
        <IsConverted>false</IsConverted>
        <LegalEntityNameID>96555776</LegalEntityNameID>
        <RepresentatedNamesOfAssistant/>
        <LegalEntityTypeID>1</LegalEntityTypeID>
        <IsVerdictExists>false</IsVerdictExists>
        <IsAsirAzir>false</IsAsirAzir>
        <MainAndSecSpec/>
        <IsPublicationProhibited>false</IsPublicationProhibited>
        <PublicationProhibitedFullName>פרופ' משה קוטלר</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ד"ר מיכה רינות</FullName>
        <FirstName>ד"ר מיכה</FirstName>
        <LastName>רינות</LastName>
        <PartyPropertyName/>
        <AuthenticationTypeAndNumber>ת"ז </AuthenticationTypeAndNumber>
        <RepresentatedOrRepresentativesNames/>
        <RepresentatedOrRepresentativesCount>0</RepresentatedOrRepresentativesCount>
        <InvitedBy/>
        <CaseID>78828528</CaseID>
        <CaseJudicialPersonPresentationDS>
          <CaseJudicalPersonActive>
            <CaseID>78828528</CaseID>
            <JudicialPersonID>023699622@GOV.IL</JudicialPersonID>
            <JudicialPersonTypeID>1</JudicialPersonTypeID>
            <JudicialTypeID>1</JudicialTypeID>
            <IsChairman>false</IsChairman>
            <TreatmentStartDate>2022-10-30T12:06:56.6+02:00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270060458</CasePartyID>
        <PartyTypeID>4</PartyTypeID>
        <ActivityStatusID>1</ActivityStatusID>
        <PartyAliasID>101</PartyAliasID>
        <PartyAliasName>עד בית משפט</PartyAliasName>
        <LegalEntityID>81897963</LegalEntityID>
        <CaseLegalEntityID>128849779</CaseLegalEntityID>
        <AuthenticationTypeID>1</AuthenticationTypeID>
        <AuthenticationTypeName>ת"ז</AuthenticationTypeName>
        <IsMainPartyType>true</IsMainPartyType>
        <CaseDisplayIdentifier>61955-11-21</CaseDisplayIdentifier>
        <CaseTypeID>1</CaseTypeID>
        <CaseTypeName>תיק אזרחי בסדר דין רגיל (ת"א)</CaseTypeName>
        <CaseName>מוסראתי נ' מדינת ישראל</CaseName>
        <FullAddress>במסירה אישית</FullAddress>
        <MotionID>0</MotionID>
        <CasePleaID>0</CasePleaID>
        <LinkedCaseID>0</LinkedCaseID>
        <PartyID>2</PartyID>
        <CasePartyCategoryID>2</CasePartyCategoryID>
        <LegalEntityAddressID>89292436</LegalEntityAddressID>
        <PleaTypeID>4</PleaTypeID>
        <GroupPartyAlias/>
        <IsConverted>false</IsConverted>
        <LegalEntityNameID>96555781</LegalEntityNameID>
        <RepresentatedNamesOfAssistant/>
        <LegalEntityTypeID>1</LegalEntityTypeID>
        <IsVerdictExists>false</IsVerdictExists>
        <IsAsirAzir>false</IsAsirAzir>
        <MainAndSecSpec/>
        <IsPublicationProhibited>false</IsPublicationProhibited>
        <PublicationProhibitedFullName>ד"ר מיכה רינות</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ריואה מוסראתי</FullName>
        <FirstName>ריואה</FirstName>
        <LastName>מוסראתי</LastName>
        <PartyPropertyName/>
        <AuthenticationTypeAndNumber>ת"ז 208423251</AuthenticationTypeAndNumber>
        <RepresentatedOrRepresentativesNames>אורי ענבר</RepresentatedOrRepresentativesNames>
        <RepresentatedOrRepresentativesCount>1</RepresentatedOrRepresentativesCount>
        <InvitedBy/>
        <CaseID>78828528</CaseID>
        <CaseJudicialPersonPresentationDS>
          <CaseJudicalPersonActive>
            <CaseID>78828528</CaseID>
            <JudicialPersonID>023699622@GOV.IL</JudicialPersonID>
            <JudicialPersonTypeID>1</JudicialPersonTypeID>
            <JudicialTypeID>1</JudicialTypeID>
            <IsChairman>false</IsChairman>
            <TreatmentStartDate>2022-10-30T12:06:56.6+02:00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233919479</CasePartyID>
        <PartyTypeID>1</PartyTypeID>
        <ActivityStatusID>1</ActivityStatusID>
        <PartyAliasID>1</PartyAliasID>
        <PartyAliasName>תובע</PartyAliasName>
        <OrdinalNumber>1</OrdinalNumber>
        <LegalEntityID>73646175</LegalEntityID>
        <CaseLegalEntityID>117629876</CaseLegalEntityID>
        <AuthenticationTypeID>1</AuthenticationTypeID>
        <AuthenticationTypeName>ת"ז</AuthenticationTypeName>
        <LegalEntityNumber>208423251</LegalEntityNumber>
        <IsMainPartyType>true</IsMainPartyType>
        <CaseDisplayIdentifier>61955-11-21</CaseDisplayIdentifier>
        <CaseTypeID>1</CaseTypeID>
        <CaseTypeName>תיק אזרחי בסדר דין רגיל (ת"א)</CaseTypeName>
        <CaseName>מוסראתי נ' מדינת ישראל</CaseName>
        <FullAddress>יצחק שדה 15 רמלה </FullAddress>
        <MotionID>0</MotionID>
        <CasePleaID>0</CasePleaID>
        <FatherName>סעיד</FatherName>
        <LinkedCaseID>0</LinkedCaseID>
        <PartyID>1</PartyID>
        <CasePartyCategoryID>2</CasePartyCategoryID>
        <LegalEntityAddressID>85869181</LegalEntityAddressID>
        <PleaTypeID>4</PleaTypeID>
        <GroupPartyAlias>תובעים</GroupPartyAlias>
        <IsConverted>false</IsConverted>
        <LegalEntityRegisteredNameID>9725860</LegalEntityRegisteredNameID>
        <LegalEntityNameID>92288863</LegalEntityNameID>
        <RepresentatedNamesOfAssistant/>
        <PopulationRegisterVerificationStatusID>1</PopulationRegisterVerificationStatusID>
        <LegalEntityTypeID>1</LegalEntityTypeID>
        <IsVerdictExists>false</IsVerdictExists>
        <IsAsirAzir>false</IsAsirAzir>
        <MainAndSecSpec/>
        <IsPublicationProhibited>true</IsPublicationProhibited>
        <PublicationProhibitedFullName>פלוני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אורי ענבר</FullName>
        <FirstName>אורי</FirstName>
        <LastName>ענבר</LastName>
        <PartyPropertyName/>
        <AuthenticationTypeAndNumber>מ.ר. 49861</AuthenticationTypeAndNumber>
        <RepresentatedOrRepresentativesNames>ריואה מוסראתי</RepresentatedOrRepresentativesNames>
        <RepresentatedOrRepresentativesCount>1</RepresentatedOrRepresentativesCount>
        <InvitedBy/>
        <CaseID>78828528</CaseID>
        <CaseJudicialPersonPresentationDS>
          <CaseJudicalPersonActive>
            <CaseID>78828528</CaseID>
            <JudicialPersonID>023699622@GOV.IL</JudicialPersonID>
            <JudicialPersonTypeID>1</JudicialPersonTypeID>
            <JudicialTypeID>1</JudicialTypeID>
            <IsChairman>false</IsChairman>
            <TreatmentStartDate>2022-10-30T12:06:56.6+02:00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233919480</CasePartyID>
        <PartyTypeID>2</PartyTypeID>
        <ActivityStatusID>1</ActivityStatusID>
        <PartyAliasID>20</PartyAliasID>
        <PartyAliasName>בא כוח תובעים</PartyAliasName>
        <OrdinalNumber>1</OrdinalNumber>
        <LegalEntityID>15875364</LegalEntityID>
        <CaseLegalEntityID>117629877</CaseLegalEntityID>
        <AuthenticationTypeID>4</AuthenticationTypeID>
        <AuthenticationTypeName>מ.ר.</AuthenticationTypeName>
        <LegalEntityNumber>49861</LegalEntityNumber>
        <IsMainPartyType>true</IsMainPartyType>
        <CaseDisplayIdentifier>61955-11-21</CaseDisplayIdentifier>
        <CaseTypeID>1</CaseTypeID>
        <CaseTypeName>תיק אזרחי בסדר דין רגיל (ת"א)</CaseTypeName>
        <CaseName>מוסראתי נ' מדינת ישראל</CaseName>
        <FullAddress>ראול ולנברג 24 תל אביב -יפו </FullAddress>
        <EmailAddress>office@inbarlaw.co.il</EmailAddress>
        <MotionID>0</MotionID>
        <CasePleaID>0</CasePleaID>
        <LinkedCaseID>0</LinkedCaseID>
        <PartyID>1</PartyID>
        <CasePartyCategoryID>2</CasePartyCategoryID>
        <LegalEntityAddressID>87081029</LegalEntityAddressID>
        <LegalEntityEmailAddressID>67897542</LegalEntityEmailAddressID>
        <PleaTypeID>4</PleaTypeID>
        <LawyerOfficeName>משרד עו"ד: ענבר - עורכי דין</LawyerOfficeName>
        <LawyerOfficeID>423167</LawyerOfficeID>
        <GroupPartyAlias/>
        <IsConverted>false</IsConverted>
        <LegalEntityNameID>17522462</LegalEntityNameID>
        <RepresentatedNamesOfAssistant/>
        <LegalEntityTypeID>4</LegalEntityTypeID>
        <IsVerdictExists>false</IsVerdictExists>
        <IsAsirAzir>false</IsAsirAzir>
        <MainAndSecSpec/>
        <IsPublicationProhibited>false</IsPublicationProhibited>
        <PublicationProhibitedFullName>אורי ענבר</PublicationProhibitedFullName>
      </CaseParties>
      <CaseParties>
        <PartyTypeName>עד</PartyTypeName>
        <ProceedingType>כתב טענות עיקרי</ProceedingType>
        <PleaName>כתב תביעה</PleaName>
        <PartyBelonging> - </PartyBelonging>
        <RoleName>עד בית משפט 1</RoleName>
        <IsSubProceeding>FALSE</IsSubProceeding>
        <FullName>פרופ' חיליק לבקוביץ'</FullName>
        <FirstName>פרופ' חיליק</FirstName>
        <LastName>לבקוביץ'</LastName>
        <PartyPropertyName/>
        <AuthenticationTypeAndNumber>ת"ז </AuthenticationTypeAndNumber>
        <RepresentatedOrRepresentativesNames/>
        <RepresentatedOrRepresentativesCount>0</RepresentatedOrRepresentativesCount>
        <InvitedBy/>
        <CaseID>78828528</CaseID>
        <CaseJudicialPersonPresentationDS>
          <CaseJudicalPersonActive>
            <CaseID>78828528</CaseID>
            <JudicialPersonID>023699622@GOV.IL</JudicialPersonID>
            <JudicialPersonTypeID>1</JudicialPersonTypeID>
            <JudicialTypeID>1</JudicialTypeID>
            <IsChairman>false</IsChairman>
            <TreatmentStartDate>2022-10-30T12:06:56.6+02:00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270059457</CasePartyID>
        <PartyTypeID>4</PartyTypeID>
        <ActivityStatusID>1</ActivityStatusID>
        <PartyAliasID>101</PartyAliasID>
        <PartyAliasName>עד בית משפט</PartyAliasName>
        <OrdinalNumber>1</OrdinalNumber>
        <LegalEntityID>81897933</LegalEntityID>
        <CaseLegalEntityID>128849475</CaseLegalEntityID>
        <AuthenticationTypeID>1</AuthenticationTypeID>
        <AuthenticationTypeName>ת"ז</AuthenticationTypeName>
        <IsMainPartyType>true</IsMainPartyType>
        <CaseDisplayIdentifier>61955-11-21</CaseDisplayIdentifier>
        <CaseTypeID>1</CaseTypeID>
        <CaseTypeName>תיק אזרחי בסדר דין רגיל (ת"א)</CaseTypeName>
        <CaseName>מוסראתי נ' מדינת ישראל</CaseName>
        <FullAddress>במסירה אישית</FullAddress>
        <MotionID>0</MotionID>
        <CasePleaID>0</CasePleaID>
        <LinkedCaseID>0</LinkedCaseID>
        <PartyID>2</PartyID>
        <CasePartyCategoryID>2</CasePartyCategoryID>
        <LegalEntityAddressID>89292333</LegalEntityAddressID>
        <PleaTypeID>4</PleaTypeID>
        <GroupPartyAlias/>
        <IsConverted>false</IsConverted>
        <LegalEntityNameID>96555692</LegalEntityNameID>
        <RepresentatedNamesOfAssistant/>
        <LegalEntityTypeID>1</LegalEntityTypeID>
        <IsVerdictExists>false</IsVerdictExists>
        <IsAsirAzir>false</IsAsirAzir>
        <MainAndSecSpec/>
        <IsPublicationProhibited>false</IsPublicationProhibited>
        <PublicationProhibitedFullName>פרופ' חיליק לבקוביץ'</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מדינת ישראל</FullName>
        <FirstName/>
        <LastName>מדינת ישראל</LastName>
        <PartyPropertyName/>
        <AuthenticationTypeAndNumber>מדינת ישראל </AuthenticationTypeAndNumber>
        <RepresentatedOrRepresentativesNames>שאול איבצן</RepresentatedOrRepresentativesNames>
        <RepresentatedOrRepresentativesCount>1</RepresentatedOrRepresentativesCount>
        <InvitedBy/>
        <CaseID>78828528</CaseID>
        <CaseJudicialPersonPresentationDS>
          <CaseJudicalPersonActive>
            <CaseID>78828528</CaseID>
            <JudicialPersonID>023699622@GOV.IL</JudicialPersonID>
            <JudicialPersonTypeID>1</JudicialPersonTypeID>
            <JudicialTypeID>1</JudicialTypeID>
            <IsChairman>false</IsChairman>
            <TreatmentStartDate>2022-10-30T12:06:56.6+02:00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235066646</CasePartyID>
        <PartyTypeID>1</PartyTypeID>
        <ActivityStatusID>1</ActivityStatusID>
        <PartyAliasID>2</PartyAliasID>
        <PartyAliasName>נתבע</PartyAliasName>
        <OrdinalNumber>1</OrdinalNumber>
        <LegalEntityID>4</LegalEntityID>
        <CaseLegalEntityID>117976332</CaseLegalEntityID>
        <AuthenticationTypeID>41</AuthenticationTypeID>
        <AuthenticationTypeName>מדינת ישראל </AuthenticationTypeName>
        <LegalEntityNumber/>
        <IsMainPartyType>true</IsMainPartyType>
        <CaseDisplayIdentifier>61955-11-21</CaseDisplayIdentifier>
        <CaseTypeID>1</CaseTypeID>
        <CaseTypeName>תיק אזרחי בסדר דין רגיל (ת"א)</CaseTypeName>
        <CaseName>מוסראתי נ' מדינת ישראל</CaseName>
        <FullAddress/>
        <MotionID>0</MotionID>
        <CasePleaID>0</CasePleaID>
        <BirthDate>1955-01-01T00:00:00+02:00</BirthDate>
        <FatherName>ויקטור חיים</FatherName>
        <LinkedCaseID>0</LinkedCaseID>
        <PartyID>2</PartyID>
        <CasePartyCategoryID>2</CasePartyCategoryID>
        <PleaTypeID>4</PleaTypeID>
        <GroupPartyAlias>נתבעים</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SelectionDS>
    <DecisionName>החלטה  שניתנה ע"י  אייל כהן</DecisionName>
    <CourtDisplayName>בית משפט השלום ברמלה</CourtDisplayName>
    <IsCaseJudgePanel>false</IsCaseJudgePanel>
    <DecisionSignatureDate>2024-11-23T23:03:32.1754138+02:00</DecisionSignatureDate>
    <OpenCaseDate>2021-11-25T13:36:00+02:00</OpenCaseDate>
    <CaseFeeSum>0.000</CaseFeeSum>
    <DecisionTypeID>1</DecisionTypeID>
    <DecisionSignatureUserName>אייל כהן</DecisionSignatureUserName>
    <DecisionSignatureDateHebrew>2024-11-23T23:03:32.1754138+02:00</DecisionSignatureDateHebrew>
    <DecisionWriterID>023699622@GOV.IL</DecisionWriterID>
    <CourtAddress>רח' ויצמן  3, רמלה 72415</CourtAddress>
    <IsAutoTextInCaseExist>false</IsAutoTextInCaseExist>
    <DecisionSignatureRoleName>שופט</DecisionSignatureRoleName>
    <DecisionSignatureUserTitleName>שופט</DecisionSignatureUserTitleName>
    <CaseName>פלוני נ' מדינת ישראל</CaseName>
    <DecisionNumberInCase>38</DecisionNumberInCase>
  </dt_Decision>
  <dt_DecisionCase>
    <DecisionID>0</DecisionID>
    <CaseID>78828528</CaseID>
    <CaseJudicialPersonPresentationDS>
      <CaseJudicalPersonActive>
        <CaseID>78828528</CaseID>
        <JudicialPersonID>023699622@GOV.IL</JudicialPersonID>
        <JudicialPersonTypeID>1</JudicialPersonTypeID>
        <JudicialTypeID>1</JudicialTypeID>
        <IsChairman>false</IsChairman>
        <TreatmentStartDate>2022-10-30T12:06:56.6+02:00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אלכסנדר בלנקשטיין</FullName>
        <FirstName>אלכסנדר</FirstName>
        <LastName>בלנקשטיין</LastName>
        <PartyPropertyName/>
        <AuthenticationTypeAndNumber>ת"ז 006428643</AuthenticationTypeAndNumber>
        <RepresentatedOrRepresentativesNames/>
        <RepresentatedOrRepresentativesCount>0</RepresentatedOrRepresentativesCount>
        <InvitedBy/>
        <CaseID>78828528</CaseID>
        <CaseJudicialPersonPresentationDS>
          <CaseJudicalPersonActive>
            <CaseID>78828528</CaseID>
            <JudicialPersonID>023699622@GOV.IL</JudicialPersonID>
            <JudicialPersonTypeID>1</JudicialPersonTypeID>
            <JudicialTypeID>1</JudicialTypeID>
            <IsChairman>false</IsChairman>
            <TreatmentStartDate>2022-10-30T12:06:56.6+02:00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270523661</CasePartyID>
        <PartyTypeID>5</PartyTypeID>
        <ActivityStatusID>1</ActivityStatusID>
        <PartyAliasID>102</PartyAliasID>
        <PartyAliasName>מומחה בית משפט</PartyAliasName>
        <LegalEntityID>2346632</LegalEntityID>
        <CaseLegalEntityID>128988718</CaseLegalEntityID>
        <AuthenticationTypeID>1</AuthenticationTypeID>
        <AuthenticationTypeName>ת"ז</AuthenticationTypeName>
        <LegalEntityNumber>006428643</LegalEntityNumber>
        <IsMainPartyType>true</IsMainPartyType>
        <CaseDisplayIdentifier>61955-11-21</CaseDisplayIdentifier>
        <CaseTypeID>1</CaseTypeID>
        <CaseTypeName>תיק אזרחי בסדר דין רגיל (ת"א)</CaseTypeName>
        <CaseName>מוסראתי נ' מדינת ישראל</CaseName>
        <FullAddress>קהילת בבל16 רמת השרון </FullAddress>
        <EmailAddress>kuchelblankmiri@hotmail.com</EmailAddress>
        <MotionID>0</MotionID>
        <CasePleaID>0</CasePleaID>
        <FatherName xml:space="preserve">        </FatherName>
        <LinkedCaseID>0</LinkedCaseID>
        <CasePartyCategoryID>1</CasePartyCategoryID>
        <LegalEntityAddressID>70881681</LegalEntityAddressID>
        <LegalEntityEmailAddressID>67885777</LegalEntityEmailAddressID>
        <PleaTypeID>4</PleaTypeID>
        <GroupPartyAlias/>
        <IsConverted>false</IsConverted>
        <LegalEntityNameID>72537217</LegalEntityNameID>
        <RepresentatedNamesOfAssistant/>
        <LegalEntityTypeID>6</LegalEntityTypeID>
        <IsVerdictExists>false</IsVerdictExists>
        <IsAsirAzir>false</IsAsirAzir>
        <MainAndSecSpec/>
        <IsPublicationProhibited>false</IsPublicationProhibited>
        <PublicationProhibitedFullName>אלכסנדר בלנקשטיין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שאול איבצן</FullName>
        <FirstName>שאול</FirstName>
        <LastName>איבצן</LastName>
        <PartyPropertyName/>
        <AuthenticationTypeAndNumber>מ.ר. 16596</AuthenticationTypeAndNumber>
        <RepresentatedOrRepresentativesNames xml:space="preserve"> </RepresentatedOrRepresentativesNames>
        <RepresentatedOrRepresentativesCount>1</RepresentatedOrRepresentativesCount>
        <InvitedBy/>
        <CaseID>78828528</CaseID>
        <CaseJudicialPersonPresentationDS>
          <CaseJudicalPersonActive>
            <CaseID>78828528</CaseID>
            <JudicialPersonID>023699622@GOV.IL</JudicialPersonID>
            <JudicialPersonTypeID>1</JudicialPersonTypeID>
            <JudicialTypeID>1</JudicialTypeID>
            <IsChairman>false</IsChairman>
            <TreatmentStartDate>2022-10-30T12:06:56.6+02:00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240770556</CasePartyID>
        <PartyTypeID>2</PartyTypeID>
        <ActivityStatusID>1</ActivityStatusID>
        <PartyAliasID>21</PartyAliasID>
        <PartyAliasName>בא כוח נתבעים</PartyAliasName>
        <LegalEntityID>382965</LegalEntityID>
        <CaseLegalEntityID>119691064</CaseLegalEntityID>
        <AuthenticationTypeID>4</AuthenticationTypeID>
        <AuthenticationTypeName>מ.ר.</AuthenticationTypeName>
        <LegalEntityNumber>16596</LegalEntityNumber>
        <IsMainPartyType>true</IsMainPartyType>
        <CaseDisplayIdentifier>61955-11-21</CaseDisplayIdentifier>
        <CaseTypeID>1</CaseTypeID>
        <CaseTypeName>תיק אזרחי בסדר דין רגיל (ת"א)</CaseTypeName>
        <CaseName>מוסראתי נ' מדינת ישראל</CaseName>
        <FullAddress>קרן היסוד 38 ירושלים </FullAddress>
        <EmailAddress>office@bivlaw.co.il</EmailAddress>
        <MotionID>0</MotionID>
        <CasePleaID>0</CasePleaID>
        <LinkedCaseID>0</LinkedCaseID>
        <PartyID>2</PartyID>
        <CasePartyCategoryID>2</CasePartyCategoryID>
        <LegalEntityAddressID>70688861</LegalEntityAddressID>
        <LegalEntityEmailAddressID>68001626</LegalEntityEmailAddressID>
        <PleaTypeID>4</PleaTypeID>
        <LawyerOfficeName>משרד עו"ד:ביניש-איבצן</LawyerOfficeName>
        <LawyerOfficeID>423609</LawyerOfficeID>
        <GroupPartyAlias/>
        <IsConverted>false</IsConverted>
        <LegalEntityNameID>3949</LegalEntityNameID>
        <RepresentatedNamesOfAssistant/>
        <LegalEntityTypeID>4</LegalEntityTypeID>
        <IsVerdictExists>false</IsVerdictExists>
        <IsAsirAzir>false</IsAsirAzir>
        <MainAndSecSpec/>
        <IsPublicationProhibited>false</IsPublicationProhibited>
        <PublicationProhibitedFullName>שאול איבצן</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פרופ' משה קוטלר</FullName>
        <FirstName>פרופ' משה</FirstName>
        <LastName>קוטלר</LastName>
        <PartyPropertyName/>
        <AuthenticationTypeAndNumber>ת"ז </AuthenticationTypeAndNumber>
        <RepresentatedOrRepresentativesNames/>
        <RepresentatedOrRepresentativesCount>0</RepresentatedOrRepresentativesCount>
        <InvitedBy/>
        <CaseID>78828528</CaseID>
        <CaseJudicialPersonPresentationDS>
          <CaseJudicalPersonActive>
            <CaseID>78828528</CaseID>
            <JudicialPersonID>023699622@GOV.IL</JudicialPersonID>
            <JudicialPersonTypeID>1</JudicialPersonTypeID>
            <JudicialTypeID>1</JudicialTypeID>
            <IsChairman>false</IsChairman>
            <TreatmentStartDate>2022-10-30T12:06:56.6+02:00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270060420</CasePartyID>
        <PartyTypeID>4</PartyTypeID>
        <ActivityStatusID>1</ActivityStatusID>
        <PartyAliasID>101</PartyAliasID>
        <PartyAliasName>עד בית משפט</PartyAliasName>
        <LegalEntityID>81897959</LegalEntityID>
        <CaseLegalEntityID>128849770</CaseLegalEntityID>
        <AuthenticationTypeID>1</AuthenticationTypeID>
        <AuthenticationTypeName>ת"ז</AuthenticationTypeName>
        <IsMainPartyType>true</IsMainPartyType>
        <CaseDisplayIdentifier>61955-11-21</CaseDisplayIdentifier>
        <CaseTypeID>1</CaseTypeID>
        <CaseTypeName>תיק אזרחי בסדר דין רגיל (ת"א)</CaseTypeName>
        <CaseName>מוסראתי נ' מדינת ישראל</CaseName>
        <FullAddress>במסירה אישית</FullAddress>
        <MotionID>0</MotionID>
        <CasePleaID>0</CasePleaID>
        <LinkedCaseID>0</LinkedCaseID>
        <PartyID>2</PartyID>
        <CasePartyCategoryID>2</CasePartyCategoryID>
        <LegalEntityAddressID>89292432</LegalEntityAddressID>
        <PleaTypeID>4</PleaTypeID>
        <GroupPartyAlias/>
        <IsConverted>false</IsConverted>
        <LegalEntityNameID>96555776</LegalEntityNameID>
        <RepresentatedNamesOfAssistant/>
        <LegalEntityTypeID>1</LegalEntityTypeID>
        <IsVerdictExists>false</IsVerdictExists>
        <IsAsirAzir>false</IsAsirAzir>
        <MainAndSecSpec/>
        <IsPublicationProhibited>false</IsPublicationProhibited>
        <PublicationProhibitedFullName>פרופ' משה קוטלר</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ד"ר מיכה רינות</FullName>
        <FirstName>ד"ר מיכה</FirstName>
        <LastName>רינות</LastName>
        <PartyPropertyName/>
        <AuthenticationTypeAndNumber>ת"ז </AuthenticationTypeAndNumber>
        <RepresentatedOrRepresentativesNames/>
        <RepresentatedOrRepresentativesCount>0</RepresentatedOrRepresentativesCount>
        <InvitedBy/>
        <CaseID>78828528</CaseID>
        <CaseJudicialPersonPresentationDS>
          <CaseJudicalPersonActive>
            <CaseID>78828528</CaseID>
            <JudicialPersonID>023699622@GOV.IL</JudicialPersonID>
            <JudicialPersonTypeID>1</JudicialPersonTypeID>
            <JudicialTypeID>1</JudicialTypeID>
            <IsChairman>false</IsChairman>
            <TreatmentStartDate>2022-10-30T12:06:56.6+02:00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270060458</CasePartyID>
        <PartyTypeID>4</PartyTypeID>
        <ActivityStatusID>1</ActivityStatusID>
        <PartyAliasID>101</PartyAliasID>
        <PartyAliasName>עד בית משפט</PartyAliasName>
        <LegalEntityID>81897963</LegalEntityID>
        <CaseLegalEntityID>128849779</CaseLegalEntityID>
        <AuthenticationTypeID>1</AuthenticationTypeID>
        <AuthenticationTypeName>ת"ז</AuthenticationTypeName>
        <IsMainPartyType>true</IsMainPartyType>
        <CaseDisplayIdentifier>61955-11-21</CaseDisplayIdentifier>
        <CaseTypeID>1</CaseTypeID>
        <CaseTypeName>תיק אזרחי בסדר דין רגיל (ת"א)</CaseTypeName>
        <CaseName>מוסראתי נ' מדינת ישראל</CaseName>
        <FullAddress>במסירה אישית</FullAddress>
        <MotionID>0</MotionID>
        <CasePleaID>0</CasePleaID>
        <LinkedCaseID>0</LinkedCaseID>
        <PartyID>2</PartyID>
        <CasePartyCategoryID>2</CasePartyCategoryID>
        <LegalEntityAddressID>89292436</LegalEntityAddressID>
        <PleaTypeID>4</PleaTypeID>
        <GroupPartyAlias/>
        <IsConverted>false</IsConverted>
        <LegalEntityNameID>96555781</LegalEntityNameID>
        <RepresentatedNamesOfAssistant/>
        <LegalEntityTypeID>1</LegalEntityTypeID>
        <IsVerdictExists>false</IsVerdictExists>
        <IsAsirAzir>false</IsAsirAzir>
        <MainAndSecSpec/>
        <IsPublicationProhibited>false</IsPublicationProhibited>
        <PublicationProhibitedFullName>ד"ר מיכה רינות</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ריואה מוסראתי</FullName>
        <FirstName>ריואה</FirstName>
        <LastName>מוסראתי</LastName>
        <PartyPropertyName/>
        <AuthenticationTypeAndNumber>ת"ז 208423251</AuthenticationTypeAndNumber>
        <RepresentatedOrRepresentativesNames>אורי ענבר</RepresentatedOrRepresentativesNames>
        <RepresentatedOrRepresentativesCount>1</RepresentatedOrRepresentativesCount>
        <InvitedBy/>
        <CaseID>78828528</CaseID>
        <CaseJudicialPersonPresentationDS>
          <CaseJudicalPersonActive>
            <CaseID>78828528</CaseID>
            <JudicialPersonID>023699622@GOV.IL</JudicialPersonID>
            <JudicialPersonTypeID>1</JudicialPersonTypeID>
            <JudicialTypeID>1</JudicialTypeID>
            <IsChairman>false</IsChairman>
            <TreatmentStartDate>2022-10-30T12:06:56.6+02:00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233919479</CasePartyID>
        <PartyTypeID>1</PartyTypeID>
        <ActivityStatusID>1</ActivityStatusID>
        <PartyAliasID>1</PartyAliasID>
        <PartyAliasName>תובע</PartyAliasName>
        <OrdinalNumber>1</OrdinalNumber>
        <LegalEntityID>73646175</LegalEntityID>
        <CaseLegalEntityID>117629876</CaseLegalEntityID>
        <AuthenticationTypeID>1</AuthenticationTypeID>
        <AuthenticationTypeName>ת"ז</AuthenticationTypeName>
        <LegalEntityNumber>208423251</LegalEntityNumber>
        <IsMainPartyType>true</IsMainPartyType>
        <CaseDisplayIdentifier>61955-11-21</CaseDisplayIdentifier>
        <CaseTypeID>1</CaseTypeID>
        <CaseTypeName>תיק אזרחי בסדר דין רגיל (ת"א)</CaseTypeName>
        <CaseName>מוסראתי נ' מדינת ישראל</CaseName>
        <FullAddress>יצחק שדה 15 רמלה </FullAddress>
        <MotionID>0</MotionID>
        <CasePleaID>0</CasePleaID>
        <FatherName>סעיד</FatherName>
        <LinkedCaseID>0</LinkedCaseID>
        <PartyID>1</PartyID>
        <CasePartyCategoryID>2</CasePartyCategoryID>
        <LegalEntityAddressID>85869181</LegalEntityAddressID>
        <PleaTypeID>4</PleaTypeID>
        <GroupPartyAlias>תובעים</GroupPartyAlias>
        <IsConverted>false</IsConverted>
        <LegalEntityRegisteredNameID>9725860</LegalEntityRegisteredNameID>
        <LegalEntityNameID>92288863</LegalEntityNameID>
        <RepresentatedNamesOfAssistant/>
        <PopulationRegisterVerificationStatusID>1</PopulationRegisterVerificationStatusID>
        <LegalEntityTypeID>1</LegalEntityTypeID>
        <IsVerdictExists>false</IsVerdictExists>
        <IsAsirAzir>false</IsAsirAzir>
        <MainAndSecSpec/>
        <IsPublicationProhibited>true</IsPublicationProhibited>
        <PublicationProhibitedFullName>פלוני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אורי ענבר</FullName>
        <FirstName>אורי</FirstName>
        <LastName>ענבר</LastName>
        <PartyPropertyName/>
        <AuthenticationTypeAndNumber>מ.ר. 49861</AuthenticationTypeAndNumber>
        <RepresentatedOrRepresentativesNames>ריואה מוסראתי</RepresentatedOrRepresentativesNames>
        <RepresentatedOrRepresentativesCount>1</RepresentatedOrRepresentativesCount>
        <InvitedBy/>
        <CaseID>78828528</CaseID>
        <CaseJudicialPersonPresentationDS>
          <CaseJudicalPersonActive>
            <CaseID>78828528</CaseID>
            <JudicialPersonID>023699622@GOV.IL</JudicialPersonID>
            <JudicialPersonTypeID>1</JudicialPersonTypeID>
            <JudicialTypeID>1</JudicialTypeID>
            <IsChairman>false</IsChairman>
            <TreatmentStartDate>2022-10-30T12:06:56.6+02:00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233919480</CasePartyID>
        <PartyTypeID>2</PartyTypeID>
        <ActivityStatusID>1</ActivityStatusID>
        <PartyAliasID>20</PartyAliasID>
        <PartyAliasName>בא כוח תובעים</PartyAliasName>
        <OrdinalNumber>1</OrdinalNumber>
        <LegalEntityID>15875364</LegalEntityID>
        <CaseLegalEntityID>117629877</CaseLegalEntityID>
        <AuthenticationTypeID>4</AuthenticationTypeID>
        <AuthenticationTypeName>מ.ר.</AuthenticationTypeName>
        <LegalEntityNumber>49861</LegalEntityNumber>
        <IsMainPartyType>true</IsMainPartyType>
        <CaseDisplayIdentifier>61955-11-21</CaseDisplayIdentifier>
        <CaseTypeID>1</CaseTypeID>
        <CaseTypeName>תיק אזרחי בסדר דין רגיל (ת"א)</CaseTypeName>
        <CaseName>מוסראתי נ' מדינת ישראל</CaseName>
        <FullAddress>ראול ולנברג 24 תל אביב -יפו </FullAddress>
        <EmailAddress>office@inbarlaw.co.il</EmailAddress>
        <MotionID>0</MotionID>
        <CasePleaID>0</CasePleaID>
        <LinkedCaseID>0</LinkedCaseID>
        <PartyID>1</PartyID>
        <CasePartyCategoryID>2</CasePartyCategoryID>
        <LegalEntityAddressID>87081029</LegalEntityAddressID>
        <LegalEntityEmailAddressID>67897542</LegalEntityEmailAddressID>
        <PleaTypeID>4</PleaTypeID>
        <LawyerOfficeName>משרד עו"ד: ענבר - עורכי דין</LawyerOfficeName>
        <LawyerOfficeID>423167</LawyerOfficeID>
        <GroupPartyAlias/>
        <IsConverted>false</IsConverted>
        <LegalEntityNameID>17522462</LegalEntityNameID>
        <RepresentatedNamesOfAssistant/>
        <LegalEntityTypeID>4</LegalEntityTypeID>
        <IsVerdictExists>false</IsVerdictExists>
        <IsAsirAzir>false</IsAsirAzir>
        <MainAndSecSpec/>
        <IsPublicationProhibited>false</IsPublicationProhibited>
        <PublicationProhibitedFullName>אורי ענבר</PublicationProhibitedFullName>
      </CaseParties>
      <CaseParties>
        <PartyTypeName>עד</PartyTypeName>
        <ProceedingType>כתב טענות עיקרי</ProceedingType>
        <PleaName>כתב תביעה</PleaName>
        <PartyBelonging> - </PartyBelonging>
        <RoleName>עד בית משפט 1</RoleName>
        <IsSubProceeding>FALSE</IsSubProceeding>
        <FullName>פרופ' חיליק לבקוביץ'</FullName>
        <FirstName>פרופ' חיליק</FirstName>
        <LastName>לבקוביץ'</LastName>
        <PartyPropertyName/>
        <AuthenticationTypeAndNumber>ת"ז </AuthenticationTypeAndNumber>
        <RepresentatedOrRepresentativesNames/>
        <RepresentatedOrRepresentativesCount>0</RepresentatedOrRepresentativesCount>
        <InvitedBy/>
        <CaseID>78828528</CaseID>
        <CaseJudicialPersonPresentationDS>
          <CaseJudicalPersonActive>
            <CaseID>78828528</CaseID>
            <JudicialPersonID>023699622@GOV.IL</JudicialPersonID>
            <JudicialPersonTypeID>1</JudicialPersonTypeID>
            <JudicialTypeID>1</JudicialTypeID>
            <IsChairman>false</IsChairman>
            <TreatmentStartDate>2022-10-30T12:06:56.6+02:00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270059457</CasePartyID>
        <PartyTypeID>4</PartyTypeID>
        <ActivityStatusID>1</ActivityStatusID>
        <PartyAliasID>101</PartyAliasID>
        <PartyAliasName>עד בית משפט</PartyAliasName>
        <OrdinalNumber>1</OrdinalNumber>
        <LegalEntityID>81897933</LegalEntityID>
        <CaseLegalEntityID>128849475</CaseLegalEntityID>
        <AuthenticationTypeID>1</AuthenticationTypeID>
        <AuthenticationTypeName>ת"ז</AuthenticationTypeName>
        <IsMainPartyType>true</IsMainPartyType>
        <CaseDisplayIdentifier>61955-11-21</CaseDisplayIdentifier>
        <CaseTypeID>1</CaseTypeID>
        <CaseTypeName>תיק אזרחי בסדר דין רגיל (ת"א)</CaseTypeName>
        <CaseName>מוסראתי נ' מדינת ישראל</CaseName>
        <FullAddress>במסירה אישית</FullAddress>
        <MotionID>0</MotionID>
        <CasePleaID>0</CasePleaID>
        <LinkedCaseID>0</LinkedCaseID>
        <PartyID>2</PartyID>
        <CasePartyCategoryID>2</CasePartyCategoryID>
        <LegalEntityAddressID>89292333</LegalEntityAddressID>
        <PleaTypeID>4</PleaTypeID>
        <GroupPartyAlias/>
        <IsConverted>false</IsConverted>
        <LegalEntityNameID>96555692</LegalEntityNameID>
        <RepresentatedNamesOfAssistant/>
        <LegalEntityTypeID>1</LegalEntityTypeID>
        <IsVerdictExists>false</IsVerdictExists>
        <IsAsirAzir>false</IsAsirAzir>
        <MainAndSecSpec/>
        <IsPublicationProhibited>false</IsPublicationProhibited>
        <PublicationProhibitedFullName>פרופ' חיליק לבקוביץ'</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מדינת ישראל</FullName>
        <FirstName/>
        <LastName>מדינת ישראל</LastName>
        <PartyPropertyName/>
        <AuthenticationTypeAndNumber>מדינת ישראל </AuthenticationTypeAndNumber>
        <RepresentatedOrRepresentativesNames>שאול איבצן</RepresentatedOrRepresentativesNames>
        <RepresentatedOrRepresentativesCount>1</RepresentatedOrRepresentativesCount>
        <InvitedBy/>
        <CaseID>78828528</CaseID>
        <CaseJudicialPersonPresentationDS>
          <CaseJudicalPersonActive>
            <CaseID>78828528</CaseID>
            <JudicialPersonID>023699622@GOV.IL</JudicialPersonID>
            <JudicialPersonTypeID>1</JudicialPersonTypeID>
            <JudicialTypeID>1</JudicialTypeID>
            <IsChairman>false</IsChairman>
            <TreatmentStartDate>2022-10-30T12:06:56.6+02:00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235066646</CasePartyID>
        <PartyTypeID>1</PartyTypeID>
        <ActivityStatusID>1</ActivityStatusID>
        <PartyAliasID>2</PartyAliasID>
        <PartyAliasName>נתבע</PartyAliasName>
        <OrdinalNumber>1</OrdinalNumber>
        <LegalEntityID>4</LegalEntityID>
        <CaseLegalEntityID>117976332</CaseLegalEntityID>
        <AuthenticationTypeID>41</AuthenticationTypeID>
        <AuthenticationTypeName>מדינת ישראל </AuthenticationTypeName>
        <LegalEntityNumber/>
        <IsMainPartyType>true</IsMainPartyType>
        <CaseDisplayIdentifier>61955-11-21</CaseDisplayIdentifier>
        <CaseTypeID>1</CaseTypeID>
        <CaseTypeName>תיק אזרחי בסדר דין רגיל (ת"א)</CaseTypeName>
        <CaseName>מוסראתי נ' מדינת ישראל</CaseName>
        <FullAddress/>
        <MotionID>0</MotionID>
        <CasePleaID>0</CasePleaID>
        <BirthDate>1955-01-01T00:00:00+02:00</BirthDate>
        <FatherName>ויקטור חיים</FatherName>
        <LinkedCaseID>0</LinkedCaseID>
        <PartyID>2</PartyID>
        <CasePartyCategoryID>2</CasePartyCategoryID>
        <PleaTypeID>4</PleaTypeID>
        <GroupPartyAlias>נתבעים</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SelectionDS>
    <CaseName>מוסראתי נ' מדינת ישראל</CaseName>
    <CaseDisplayIdentifier>61955-11-21</CaseDisplayIdentifier>
    <CaseInterestID>10445</CaseInterestID>
    <CaseTypeShortName>ת"א</CaseTypeShortName>
  </dt_DecisionCase>
  <dt_DecisionJudgePanel>
    <JudgeID>023699622@GOV.IL</JudgeID>
    <DisplayName>אייל כהן</DisplayName>
    <RoleName>שופט</RoleName>
    <UserTitleName>שופט</UserTitleName>
  </dt_DecisionJudgePanel>
  <dt_LegalEntityDetails>
    <Fax>02-6250165</Fax>
    <Phone>02-6253395</Phone>
    <PartyID>2</PartyID>
    <PartyTypeID>2</PartyTypeID>
    <DecisionID>0</DecisionID>
    <StreetName>קרן היסוד 38</StreetName>
    <ZipCode>92149</ZipCode>
    <CityName>ירושלים</CityName>
    <FullName>שאול איבצן</FullName>
    <Email>office@bivlaw.co.il</Email>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Fax>03-5494269</Fax>
    <Phone>03-5409876</Phone>
    <PartyTypeID>5</PartyTypeID>
    <DecisionID>0</DecisionID>
    <StreetName>קהילת בבל16</StreetName>
    <ZipCode>47322</ZipCode>
    <CityName>רמת השרון</CityName>
    <FullName>אלכסנדר בלנקשטיין</FullName>
    <Position>1</Position>
    <Email>kuchelblankmiri@hotmail.com</Email>
    <IsPublicationProhibited>false</IsPublicationProhibited>
  </dt_LegalEntityDetails>
  <dt_LegalEntityDetails>
    <PartyID>1</PartyID>
    <PartyTypeID>1</PartyTypeID>
    <DecisionID>0</DecisionID>
    <StreetName>יצחק שדה 15</StreetName>
    <CityName>רמלה</CityName>
    <FullName>ריואה  מוסראתי </FullName>
    <IsPublicationProhibited>true</IsPublicationProhibited>
  </dt_LegalEntityDetails>
  <dt_LegalEntityDetails>
    <Fax>03-3035851</Fax>
    <Phone>03-3035850</Phone>
    <PartyID>1</PartyID>
    <PartyTypeID>2</PartyTypeID>
    <DecisionID>0</DecisionID>
    <StreetName>ראול ולנברג 24</StreetName>
    <ZipCode>6971068</ZipCode>
    <CityName>תל אביב -יפו</CityName>
    <FullName>אורי ענבר</FullName>
    <Email>office@inbarlaw.co.il</Email>
    <IsPublicationProhibited>false</IsPublicationProhibited>
  </dt_LegalEntityDetails>
  <dt_LegalEntityDetails>
    <PartyID>2</PartyID>
    <PartyTypeID>1</PartyTypeID>
    <DecisionID>0</DecisionID>
    <IsPublicationProhibited>false</IsPublicationProhibited>
  </dt_LegalEntityDetails>
  <dt_LegalEntityDetails>
    <PartyID>2</PartyID>
    <PartyTypeID>4</PartyTypeID>
    <DecisionID>0</DecisionID>
    <IsPublicationProhibited>false</IsPublicationProhibited>
  </dt_LegalEntityDetails>
  <dt_CaseJudicalPersonActive>
    <CaseJudicalPerson>שופט אייל כהן</CaseJudicalPerson>
  </dt_CaseJudicalPersonActive>
  <dt_Sitting>
    <FutureSittingDate>2024-12-24T09:00:00+02:00</FutureSittingDate>
    <PreviousMeetingDate>2024-11-21T13:00:00+02:00</PreviousMeetingDate>
    <NextSittingTypeID>2</NextSittingTypeID>
    <PreviousSittingTypeID>1</PreviousSittingTypeID>
    <NextMeetingDisplayName>שופט אייל כהן</NextMeetingDisplayName>
    <NextMeetingRoleName>שופט</NextMeetingRoleName>
    <NextMeetingUserTitleName>שופט</NextMeetingUserTitleName>
    <NextMeetingUserUPN>023699622@GOV.IL</NextMeetingUserUPN>
    <PreviousMeetingDisplayName>שופט אייל כהן</PreviousMeetingDisplayName>
    <PreviousMeetingRoleName>שופט</PreviousMeetingRoleName>
    <PreviousMeetingUserTitleName>שופט</PreviousMeetingUserTitleName>
    <PreviousMeetingUserUPN>023699622@GOV.IL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1CC29-7041-4975-88FC-E1A968BFFF8A}">
  <ds:schemaRefs/>
</ds:datastoreItem>
</file>

<file path=customXml/itemProps2.xml><?xml version="1.0" encoding="utf-8"?>
<ds:datastoreItem xmlns:ds="http://schemas.openxmlformats.org/officeDocument/2006/customXml" ds:itemID="{F3E34C25-CCFE-44C2-89B4-7A625319F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1614</Words>
  <Characters>8072</Characters>
  <Application>Microsoft Office Word</Application>
  <DocSecurity>0</DocSecurity>
  <Lines>67</Lines>
  <Paragraphs>19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2024-11-26T07:39:00Z</dcterms:created>
  <dcterms:modified xsi:type="dcterms:W3CDTF">2024-11-26T07:39:00Z</dcterms:modified>
</cp:coreProperties>
</file>